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0" w:rsidRPr="00174250" w:rsidRDefault="009876F0" w:rsidP="007C22DD">
      <w:pPr>
        <w:jc w:val="both"/>
        <w:rPr>
          <w:rFonts w:ascii="Times New Roman" w:hAnsi="Times New Roman"/>
          <w:b/>
          <w:sz w:val="28"/>
          <w:szCs w:val="28"/>
          <w:lang w:val="es-ES_tradnl"/>
        </w:rPr>
      </w:pPr>
    </w:p>
    <w:p w:rsidR="001B0DFC" w:rsidRDefault="00FD7AE7" w:rsidP="00FD7AE7">
      <w:pPr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 w:rsidRPr="00174250">
        <w:rPr>
          <w:rFonts w:ascii="Times New Roman" w:hAnsi="Times New Roman"/>
          <w:b/>
          <w:sz w:val="32"/>
          <w:szCs w:val="32"/>
          <w:lang w:val="es-ES_tradnl"/>
        </w:rPr>
        <w:t>EL SALDO DE LAS REMESAS FAMILIARES</w:t>
      </w:r>
    </w:p>
    <w:p w:rsidR="009876F0" w:rsidRPr="00174250" w:rsidRDefault="00FD7AE7" w:rsidP="00FD7AE7">
      <w:pPr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 w:rsidRPr="00174250">
        <w:rPr>
          <w:rFonts w:ascii="Times New Roman" w:hAnsi="Times New Roman"/>
          <w:b/>
          <w:sz w:val="32"/>
          <w:szCs w:val="32"/>
          <w:lang w:val="es-ES_tradnl"/>
        </w:rPr>
        <w:t xml:space="preserve">EN </w:t>
      </w:r>
      <w:r w:rsidR="001B0DFC">
        <w:rPr>
          <w:rFonts w:ascii="Times New Roman" w:hAnsi="Times New Roman"/>
          <w:b/>
          <w:sz w:val="32"/>
          <w:szCs w:val="32"/>
          <w:lang w:val="es-ES_tradnl"/>
        </w:rPr>
        <w:t xml:space="preserve">MÉXICO EN </w:t>
      </w:r>
      <w:r w:rsidRPr="00174250">
        <w:rPr>
          <w:rFonts w:ascii="Times New Roman" w:hAnsi="Times New Roman"/>
          <w:b/>
          <w:sz w:val="32"/>
          <w:szCs w:val="32"/>
          <w:lang w:val="es-ES_tradnl"/>
        </w:rPr>
        <w:t>2009</w:t>
      </w:r>
    </w:p>
    <w:p w:rsidR="00FD7AE7" w:rsidRPr="00174250" w:rsidRDefault="00FD7AE7" w:rsidP="007C22DD">
      <w:pPr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174250" w:rsidRDefault="00174250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D7AE7" w:rsidRPr="00174250" w:rsidRDefault="00FD7AE7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4250">
        <w:rPr>
          <w:rFonts w:ascii="Times New Roman" w:hAnsi="Times New Roman"/>
          <w:sz w:val="24"/>
          <w:szCs w:val="24"/>
          <w:lang w:val="es-ES_tradnl"/>
        </w:rPr>
        <w:t>Febrero de 2010</w:t>
      </w:r>
    </w:p>
    <w:p w:rsidR="00FD7AE7" w:rsidRPr="00174250" w:rsidRDefault="00FD7AE7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4250">
        <w:rPr>
          <w:rFonts w:ascii="Times New Roman" w:hAnsi="Times New Roman"/>
          <w:sz w:val="24"/>
          <w:szCs w:val="24"/>
          <w:lang w:val="es-ES_tradnl"/>
        </w:rPr>
        <w:t>Miguel Moctezuma L.</w:t>
      </w:r>
    </w:p>
    <w:p w:rsidR="009876F0" w:rsidRPr="00174250" w:rsidRDefault="00FD7AE7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4250">
        <w:rPr>
          <w:rFonts w:ascii="Times New Roman" w:hAnsi="Times New Roman"/>
          <w:sz w:val="24"/>
          <w:szCs w:val="24"/>
          <w:lang w:val="es-ES_tradnl"/>
        </w:rPr>
        <w:t xml:space="preserve">Universidad Autónoma de Zacatecas </w:t>
      </w:r>
    </w:p>
    <w:p w:rsidR="00FD7AE7" w:rsidRPr="00174250" w:rsidRDefault="00FD7AE7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74250" w:rsidRDefault="00174250" w:rsidP="007C22DD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61FA6" w:rsidRPr="00174250" w:rsidRDefault="00B96332" w:rsidP="007C22D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174250">
        <w:rPr>
          <w:rFonts w:ascii="Times New Roman" w:hAnsi="Times New Roman"/>
          <w:sz w:val="24"/>
          <w:szCs w:val="24"/>
          <w:lang w:val="es-ES_tradnl"/>
        </w:rPr>
        <w:t xml:space="preserve">En 2009 México sufrió la caída anual más grande </w:t>
      </w:r>
      <w:r w:rsidR="001475C0" w:rsidRPr="00174250">
        <w:rPr>
          <w:rFonts w:ascii="Times New Roman" w:hAnsi="Times New Roman"/>
          <w:sz w:val="24"/>
          <w:szCs w:val="24"/>
          <w:lang w:val="es-ES_tradnl"/>
        </w:rPr>
        <w:t xml:space="preserve">en su historia </w:t>
      </w:r>
      <w:r w:rsidRPr="00174250">
        <w:rPr>
          <w:rFonts w:ascii="Times New Roman" w:hAnsi="Times New Roman"/>
          <w:sz w:val="24"/>
          <w:szCs w:val="24"/>
          <w:lang w:val="es-ES_tradnl"/>
        </w:rPr>
        <w:t xml:space="preserve">por recepción de remesas familiares, misma que representó el 18.77% respecto de 2007 y cuyo monto absoluto </w:t>
      </w:r>
      <w:r w:rsidR="001E7E8B" w:rsidRPr="00174250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0F2E2D" w:rsidRPr="00174250">
        <w:rPr>
          <w:rFonts w:ascii="Times New Roman" w:hAnsi="Times New Roman"/>
          <w:sz w:val="24"/>
          <w:szCs w:val="24"/>
          <w:lang w:val="es-ES_tradnl"/>
        </w:rPr>
        <w:t>esa</w:t>
      </w:r>
      <w:r w:rsidR="001E7E8B" w:rsidRPr="0017425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F2E2D" w:rsidRPr="00174250">
        <w:rPr>
          <w:rFonts w:ascii="Times New Roman" w:hAnsi="Times New Roman"/>
          <w:sz w:val="24"/>
          <w:szCs w:val="24"/>
          <w:lang w:val="es-ES_tradnl"/>
        </w:rPr>
        <w:t>reducción fue</w:t>
      </w:r>
      <w:r w:rsidRPr="00174250">
        <w:rPr>
          <w:rFonts w:ascii="Times New Roman" w:hAnsi="Times New Roman"/>
          <w:sz w:val="24"/>
          <w:szCs w:val="24"/>
          <w:lang w:val="es-ES_tradnl"/>
        </w:rPr>
        <w:t xml:space="preserve"> de 4,894.70 millones de dólares</w:t>
      </w:r>
      <w:r w:rsidR="001475C0" w:rsidRPr="00174250">
        <w:rPr>
          <w:rFonts w:ascii="Times New Roman" w:hAnsi="Times New Roman"/>
          <w:sz w:val="24"/>
          <w:szCs w:val="24"/>
          <w:lang w:val="es-ES_tradnl"/>
        </w:rPr>
        <w:t>, cifra superior a las remesas que recibe Guatemala, el país centroamericano que recibe una cantidad mayor</w:t>
      </w:r>
      <w:r w:rsidRPr="00174250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475C0" w:rsidRPr="00174250">
        <w:rPr>
          <w:rFonts w:ascii="Times New Roman" w:hAnsi="Times New Roman"/>
          <w:sz w:val="24"/>
          <w:szCs w:val="24"/>
          <w:lang w:val="es-ES_tradnl"/>
        </w:rPr>
        <w:t xml:space="preserve">Para este cálculo, </w:t>
      </w:r>
      <w:r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el año de referencia es 200</w:t>
      </w:r>
      <w:r w:rsidR="009F5C06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7</w:t>
      </w:r>
      <w:r w:rsidR="007C22DD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. Considérese que el año base es aquel en el cual la reducción comienza a manifestarse, de tal manera que no </w:t>
      </w:r>
      <w:r w:rsidR="009F5C06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considerarlo, como frecuentemente sucede </w:t>
      </w:r>
      <w:r w:rsidR="0026784B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por </w:t>
      </w:r>
      <w:r w:rsidR="009F5C06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quienes simplemente realizan cálculos anuales, esto </w:t>
      </w:r>
      <w:r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  <w:r w:rsidR="007C22DD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lleva a una comparación respecto de</w:t>
      </w:r>
      <w:r w:rsidR="009F5C06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2008,</w:t>
      </w:r>
      <w:r w:rsidR="007C22DD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cifra que ya e</w:t>
      </w:r>
      <w:r w:rsidR="003A5B49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stá</w:t>
      </w:r>
      <w:r w:rsidR="007C22DD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disminuida.</w:t>
      </w:r>
    </w:p>
    <w:p w:rsidR="003A5B49" w:rsidRPr="00174250" w:rsidRDefault="003A5B49" w:rsidP="007C22D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475C0" w:rsidRPr="00174250" w:rsidRDefault="001475C0" w:rsidP="007C22D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475C0" w:rsidRPr="00174250" w:rsidRDefault="00E13A2F" w:rsidP="00CB1E2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248074" cy="2756065"/>
            <wp:effectExtent l="11408" t="4431" r="7843" b="1754"/>
            <wp:docPr id="1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24E2" w:rsidRPr="00174250" w:rsidRDefault="00687A16" w:rsidP="007C22D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FUENTE: </w:t>
      </w:r>
      <w:r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Banco de México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Ingresos mensuales por Remesas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febrero de 2010.</w:t>
      </w:r>
    </w:p>
    <w:p w:rsidR="001475C0" w:rsidRPr="00174250" w:rsidRDefault="001475C0" w:rsidP="002124E2">
      <w:pPr>
        <w:jc w:val="both"/>
        <w:rPr>
          <w:rFonts w:ascii="Times New Roman" w:hAnsi="Times New Roman"/>
          <w:sz w:val="24"/>
          <w:szCs w:val="24"/>
        </w:rPr>
      </w:pPr>
    </w:p>
    <w:p w:rsidR="0037372F" w:rsidRDefault="0037372F" w:rsidP="002124E2">
      <w:pPr>
        <w:jc w:val="both"/>
        <w:rPr>
          <w:rFonts w:ascii="Times New Roman" w:hAnsi="Times New Roman"/>
          <w:sz w:val="24"/>
          <w:szCs w:val="24"/>
        </w:rPr>
      </w:pPr>
    </w:p>
    <w:p w:rsidR="006138B9" w:rsidRDefault="002124E2" w:rsidP="002124E2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 xml:space="preserve">En lo que toca al país, en 2003 las remesas representaban 2.27% del PIB nacional, proporción que creció a 3.42% en 2007. En general, </w:t>
      </w:r>
      <w:r w:rsidR="009876F0" w:rsidRPr="00174250">
        <w:rPr>
          <w:rFonts w:ascii="Times New Roman" w:hAnsi="Times New Roman"/>
          <w:sz w:val="24"/>
          <w:szCs w:val="24"/>
        </w:rPr>
        <w:t>todas las entidades de México mostraron un crecimiento de las remesas respecto de su PIB, sin embargo</w:t>
      </w:r>
      <w:r w:rsidR="009876F0" w:rsidRPr="00236F3A">
        <w:rPr>
          <w:rFonts w:ascii="Times New Roman" w:hAnsi="Times New Roman"/>
          <w:sz w:val="24"/>
          <w:szCs w:val="24"/>
        </w:rPr>
        <w:t xml:space="preserve">, </w:t>
      </w:r>
      <w:r w:rsidR="006138B9" w:rsidRPr="00236F3A">
        <w:rPr>
          <w:rFonts w:ascii="Times New Roman" w:hAnsi="Times New Roman"/>
          <w:sz w:val="24"/>
          <w:szCs w:val="24"/>
        </w:rPr>
        <w:t>d</w:t>
      </w:r>
      <w:r w:rsidR="003A5B49" w:rsidRPr="00236F3A">
        <w:rPr>
          <w:rFonts w:ascii="Times New Roman" w:hAnsi="Times New Roman"/>
          <w:sz w:val="24"/>
          <w:szCs w:val="24"/>
        </w:rPr>
        <w:t>e ello</w:t>
      </w:r>
      <w:r w:rsidR="003A5B49" w:rsidRPr="00174250">
        <w:rPr>
          <w:rFonts w:ascii="Times New Roman" w:hAnsi="Times New Roman"/>
          <w:sz w:val="24"/>
          <w:szCs w:val="24"/>
        </w:rPr>
        <w:t xml:space="preserve"> </w:t>
      </w:r>
      <w:r w:rsidRPr="00174250">
        <w:rPr>
          <w:rFonts w:ascii="Times New Roman" w:hAnsi="Times New Roman"/>
          <w:sz w:val="24"/>
          <w:szCs w:val="24"/>
        </w:rPr>
        <w:t xml:space="preserve">no se </w:t>
      </w:r>
      <w:r w:rsidR="009876F0" w:rsidRPr="00174250">
        <w:rPr>
          <w:rFonts w:ascii="Times New Roman" w:hAnsi="Times New Roman"/>
          <w:sz w:val="24"/>
          <w:szCs w:val="24"/>
        </w:rPr>
        <w:t xml:space="preserve">deriva </w:t>
      </w:r>
      <w:r w:rsidRPr="00174250">
        <w:rPr>
          <w:rFonts w:ascii="Times New Roman" w:hAnsi="Times New Roman"/>
          <w:sz w:val="24"/>
          <w:szCs w:val="24"/>
        </w:rPr>
        <w:t xml:space="preserve">que el país mantenga una dependencia económica de las remesas, </w:t>
      </w:r>
      <w:r w:rsidR="009876F0" w:rsidRPr="00174250">
        <w:rPr>
          <w:rFonts w:ascii="Times New Roman" w:hAnsi="Times New Roman"/>
          <w:sz w:val="24"/>
          <w:szCs w:val="24"/>
        </w:rPr>
        <w:t>aunque</w:t>
      </w:r>
      <w:r w:rsidRPr="00174250">
        <w:rPr>
          <w:rFonts w:ascii="Times New Roman" w:hAnsi="Times New Roman"/>
          <w:sz w:val="24"/>
          <w:szCs w:val="24"/>
        </w:rPr>
        <w:t xml:space="preserve">, por entidad, su expresión no deja dudas de que hay entidades del país que vienen mostrando una fuerte dependencia </w:t>
      </w:r>
      <w:r w:rsidR="0026784B" w:rsidRPr="00174250">
        <w:rPr>
          <w:rFonts w:ascii="Times New Roman" w:hAnsi="Times New Roman"/>
          <w:sz w:val="24"/>
          <w:szCs w:val="24"/>
        </w:rPr>
        <w:t xml:space="preserve">estructural </w:t>
      </w:r>
      <w:r w:rsidRPr="00174250">
        <w:rPr>
          <w:rFonts w:ascii="Times New Roman" w:hAnsi="Times New Roman"/>
          <w:sz w:val="24"/>
          <w:szCs w:val="24"/>
        </w:rPr>
        <w:t xml:space="preserve">de este tipo de recursos y que </w:t>
      </w:r>
      <w:r w:rsidR="009C4269" w:rsidRPr="00174250">
        <w:rPr>
          <w:rFonts w:ascii="Times New Roman" w:hAnsi="Times New Roman"/>
          <w:sz w:val="24"/>
          <w:szCs w:val="24"/>
        </w:rPr>
        <w:t>hasta 2007 e</w:t>
      </w:r>
      <w:r w:rsidRPr="00174250">
        <w:rPr>
          <w:rFonts w:ascii="Times New Roman" w:hAnsi="Times New Roman"/>
          <w:sz w:val="24"/>
          <w:szCs w:val="24"/>
        </w:rPr>
        <w:t>sta ven</w:t>
      </w:r>
      <w:r w:rsidR="009C4269" w:rsidRPr="00174250">
        <w:rPr>
          <w:rFonts w:ascii="Times New Roman" w:hAnsi="Times New Roman"/>
          <w:sz w:val="24"/>
          <w:szCs w:val="24"/>
        </w:rPr>
        <w:t>ía</w:t>
      </w:r>
      <w:r w:rsidRPr="00174250">
        <w:rPr>
          <w:rFonts w:ascii="Times New Roman" w:hAnsi="Times New Roman"/>
          <w:sz w:val="24"/>
          <w:szCs w:val="24"/>
        </w:rPr>
        <w:t xml:space="preserve"> creciendo</w:t>
      </w:r>
      <w:r w:rsidR="009C4269" w:rsidRPr="00174250">
        <w:rPr>
          <w:rFonts w:ascii="Times New Roman" w:hAnsi="Times New Roman"/>
          <w:sz w:val="24"/>
          <w:szCs w:val="24"/>
        </w:rPr>
        <w:t xml:space="preserve"> al grado de </w:t>
      </w:r>
      <w:r w:rsidR="009876F0" w:rsidRPr="00174250">
        <w:rPr>
          <w:rFonts w:ascii="Times New Roman" w:hAnsi="Times New Roman"/>
          <w:sz w:val="24"/>
          <w:szCs w:val="24"/>
        </w:rPr>
        <w:t xml:space="preserve">convertirse actualmente en un </w:t>
      </w:r>
      <w:r w:rsidR="009C4269" w:rsidRPr="00174250">
        <w:rPr>
          <w:rFonts w:ascii="Times New Roman" w:hAnsi="Times New Roman"/>
          <w:sz w:val="24"/>
          <w:szCs w:val="24"/>
        </w:rPr>
        <w:t>problema mayor</w:t>
      </w:r>
      <w:r w:rsidRPr="00174250">
        <w:rPr>
          <w:rFonts w:ascii="Times New Roman" w:hAnsi="Times New Roman"/>
          <w:sz w:val="24"/>
          <w:szCs w:val="24"/>
        </w:rPr>
        <w:t xml:space="preserve">. </w:t>
      </w:r>
    </w:p>
    <w:p w:rsidR="006138B9" w:rsidRPr="00174250" w:rsidRDefault="006138B9" w:rsidP="006138B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lastRenderedPageBreak/>
        <w:t xml:space="preserve">Respecto de su incidencia económica </w:t>
      </w:r>
      <w:r w:rsidRPr="0037372F">
        <w:rPr>
          <w:rFonts w:ascii="Times New Roman" w:eastAsia="Times New Roman" w:hAnsi="Times New Roman"/>
          <w:i/>
          <w:color w:val="000000"/>
          <w:sz w:val="24"/>
          <w:szCs w:val="24"/>
          <w:lang w:eastAsia="es-MX"/>
        </w:rPr>
        <w:t>directa</w:t>
      </w:r>
      <w:r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, ésta debe valorarse considerando el peso que esa reducción tiene en el Producto Interno Bruto Estatal (PIBE). Hasta ahora, el dato más reciente del PIBE es 2007, y en ese caso, la caída de las remesas tiene un fuerte impacto negativo diferenciado por entidades.</w:t>
      </w:r>
    </w:p>
    <w:p w:rsidR="002124E2" w:rsidRPr="00174250" w:rsidRDefault="002124E2" w:rsidP="002124E2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 xml:space="preserve"> </w:t>
      </w:r>
    </w:p>
    <w:p w:rsidR="00661FA6" w:rsidRPr="00174250" w:rsidRDefault="00661FA6" w:rsidP="007C22D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742CF" w:rsidRPr="00174250" w:rsidRDefault="006742CF" w:rsidP="007C22DD">
      <w:pPr>
        <w:jc w:val="both"/>
        <w:rPr>
          <w:rFonts w:ascii="Times New Roman" w:hAnsi="Times New Roman"/>
          <w:sz w:val="24"/>
          <w:szCs w:val="24"/>
        </w:rPr>
        <w:sectPr w:rsidR="006742CF" w:rsidRPr="00174250" w:rsidSect="00174250">
          <w:headerReference w:type="default" r:id="rId8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6742CF" w:rsidRPr="00174250" w:rsidRDefault="00E13A2F" w:rsidP="007C2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800156" cy="4034497"/>
            <wp:effectExtent l="6761" t="4103" r="2958" b="0"/>
            <wp:docPr id="2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2CF" w:rsidRPr="00174250" w:rsidRDefault="00E13A2F" w:rsidP="007C2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3009237" cy="4033213"/>
            <wp:effectExtent l="7534" t="4122" r="2654" b="1265"/>
            <wp:docPr id="3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2CF" w:rsidRPr="00174250" w:rsidRDefault="006742CF" w:rsidP="007C22DD">
      <w:pPr>
        <w:jc w:val="both"/>
        <w:rPr>
          <w:rFonts w:ascii="Times New Roman" w:hAnsi="Times New Roman"/>
          <w:sz w:val="24"/>
          <w:szCs w:val="24"/>
        </w:rPr>
        <w:sectPr w:rsidR="006742CF" w:rsidRPr="00174250" w:rsidSect="006742C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87A16" w:rsidRDefault="00687A16" w:rsidP="002124E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FUENTE: </w:t>
      </w:r>
      <w:r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Banco de México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Ingresos mensuales por Remesas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ebrero de 2010; INEGI, 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Dirección General de Estadísticas Económicas. Dirección General Adjunta de Cuentas Nacionales.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 </w:t>
      </w:r>
    </w:p>
    <w:p w:rsidR="00687A16" w:rsidRDefault="00687A16" w:rsidP="002124E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87A16" w:rsidRDefault="00687A16" w:rsidP="002124E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87A16" w:rsidRPr="00174250" w:rsidRDefault="009876F0" w:rsidP="00687A16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>Según esas cifras, las entidades que actualmente se han visto mayormente afectadas por la reducción de las remesas son en el mismo orden: Zacatecas</w:t>
      </w:r>
      <w:r w:rsidR="00FC2C4F">
        <w:rPr>
          <w:rFonts w:ascii="Times New Roman" w:hAnsi="Times New Roman"/>
          <w:sz w:val="24"/>
          <w:szCs w:val="24"/>
        </w:rPr>
        <w:t>,</w:t>
      </w:r>
      <w:r w:rsidRPr="00174250">
        <w:rPr>
          <w:rFonts w:ascii="Times New Roman" w:hAnsi="Times New Roman"/>
          <w:sz w:val="24"/>
          <w:szCs w:val="24"/>
        </w:rPr>
        <w:t xml:space="preserve"> Hidalgo, Chiapas, Guerrero y Oaxaca, con </w:t>
      </w:r>
      <w:r w:rsidR="003A5B49" w:rsidRPr="00174250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un </w:t>
      </w:r>
      <w:r w:rsidRPr="00174250">
        <w:rPr>
          <w:rFonts w:ascii="Times New Roman" w:hAnsi="Times New Roman"/>
          <w:sz w:val="24"/>
          <w:szCs w:val="24"/>
        </w:rPr>
        <w:t xml:space="preserve">impacto en su PIBE de 4.10%, 3.96%, 2.83%, 2.75% y 2.34% respectivamente. </w:t>
      </w:r>
      <w:r w:rsidR="00FD131A">
        <w:rPr>
          <w:rFonts w:ascii="Times New Roman" w:hAnsi="Times New Roman"/>
          <w:sz w:val="24"/>
          <w:szCs w:val="24"/>
        </w:rPr>
        <w:t>Una comparación más cercana indica que en 2009 se dejaron de recibir diariamente $ US 515</w:t>
      </w:r>
      <w:r w:rsidR="008E52FC">
        <w:rPr>
          <w:rFonts w:ascii="Times New Roman" w:hAnsi="Times New Roman"/>
          <w:sz w:val="24"/>
          <w:szCs w:val="24"/>
        </w:rPr>
        <w:t xml:space="preserve"> mil dólares </w:t>
      </w:r>
      <w:r w:rsidR="00FD131A">
        <w:rPr>
          <w:rFonts w:ascii="Times New Roman" w:hAnsi="Times New Roman"/>
          <w:sz w:val="24"/>
          <w:szCs w:val="24"/>
        </w:rPr>
        <w:t xml:space="preserve">en Zacatecas, $ US 957 </w:t>
      </w:r>
      <w:r w:rsidR="008E52FC">
        <w:rPr>
          <w:rFonts w:ascii="Times New Roman" w:hAnsi="Times New Roman"/>
          <w:sz w:val="24"/>
          <w:szCs w:val="24"/>
        </w:rPr>
        <w:t xml:space="preserve">mil dólares </w:t>
      </w:r>
      <w:r w:rsidR="00FD131A">
        <w:rPr>
          <w:rFonts w:ascii="Times New Roman" w:hAnsi="Times New Roman"/>
          <w:sz w:val="24"/>
          <w:szCs w:val="24"/>
        </w:rPr>
        <w:t xml:space="preserve">en Hidalgo, $ US 824 </w:t>
      </w:r>
      <w:r w:rsidR="008E52FC">
        <w:rPr>
          <w:rFonts w:ascii="Times New Roman" w:hAnsi="Times New Roman"/>
          <w:sz w:val="24"/>
          <w:szCs w:val="24"/>
        </w:rPr>
        <w:t xml:space="preserve">mil dólares </w:t>
      </w:r>
      <w:r w:rsidR="00FD131A">
        <w:rPr>
          <w:rFonts w:ascii="Times New Roman" w:hAnsi="Times New Roman"/>
          <w:sz w:val="24"/>
          <w:szCs w:val="24"/>
        </w:rPr>
        <w:t xml:space="preserve">en Chiapas, $ US 739 </w:t>
      </w:r>
      <w:r w:rsidR="008E52FC">
        <w:rPr>
          <w:rFonts w:ascii="Times New Roman" w:hAnsi="Times New Roman"/>
          <w:sz w:val="24"/>
          <w:szCs w:val="24"/>
        </w:rPr>
        <w:t xml:space="preserve">mil dólares </w:t>
      </w:r>
      <w:r w:rsidR="00FD131A">
        <w:rPr>
          <w:rFonts w:ascii="Times New Roman" w:hAnsi="Times New Roman"/>
          <w:sz w:val="24"/>
          <w:szCs w:val="24"/>
        </w:rPr>
        <w:t>en Guerrero</w:t>
      </w:r>
      <w:r w:rsidR="008E52FC">
        <w:rPr>
          <w:rFonts w:ascii="Times New Roman" w:hAnsi="Times New Roman"/>
          <w:sz w:val="24"/>
          <w:szCs w:val="24"/>
        </w:rPr>
        <w:t xml:space="preserve"> y</w:t>
      </w:r>
      <w:r w:rsidR="00FD131A">
        <w:rPr>
          <w:rFonts w:ascii="Times New Roman" w:hAnsi="Times New Roman"/>
          <w:sz w:val="24"/>
          <w:szCs w:val="24"/>
        </w:rPr>
        <w:t xml:space="preserve"> $ US 595 </w:t>
      </w:r>
      <w:r w:rsidR="008E52FC">
        <w:rPr>
          <w:rFonts w:ascii="Times New Roman" w:hAnsi="Times New Roman"/>
          <w:sz w:val="24"/>
          <w:szCs w:val="24"/>
        </w:rPr>
        <w:t xml:space="preserve">mil dólares </w:t>
      </w:r>
      <w:r w:rsidR="00FD131A">
        <w:rPr>
          <w:rFonts w:ascii="Times New Roman" w:hAnsi="Times New Roman"/>
          <w:sz w:val="24"/>
          <w:szCs w:val="24"/>
        </w:rPr>
        <w:t>en Oaxaca</w:t>
      </w:r>
      <w:r w:rsidR="008E52FC">
        <w:rPr>
          <w:rFonts w:ascii="Times New Roman" w:hAnsi="Times New Roman"/>
          <w:sz w:val="24"/>
          <w:szCs w:val="24"/>
        </w:rPr>
        <w:t>.</w:t>
      </w:r>
      <w:r w:rsidR="00FD131A">
        <w:rPr>
          <w:rFonts w:ascii="Times New Roman" w:hAnsi="Times New Roman"/>
          <w:sz w:val="24"/>
          <w:szCs w:val="24"/>
        </w:rPr>
        <w:t xml:space="preserve"> </w:t>
      </w:r>
      <w:r w:rsidRPr="00174250">
        <w:rPr>
          <w:rFonts w:ascii="Times New Roman" w:hAnsi="Times New Roman"/>
          <w:sz w:val="24"/>
          <w:szCs w:val="24"/>
        </w:rPr>
        <w:t>Estas entidades reúnen dos características: en 2003 su PIBE ya reportaba una mayor dependencia respecto de las remesas</w:t>
      </w:r>
      <w:r w:rsidR="008E52FC">
        <w:rPr>
          <w:rFonts w:ascii="Times New Roman" w:hAnsi="Times New Roman"/>
          <w:sz w:val="24"/>
          <w:szCs w:val="24"/>
        </w:rPr>
        <w:t>,</w:t>
      </w:r>
      <w:r w:rsidRPr="00174250">
        <w:rPr>
          <w:rFonts w:ascii="Times New Roman" w:hAnsi="Times New Roman"/>
          <w:sz w:val="24"/>
          <w:szCs w:val="24"/>
        </w:rPr>
        <w:t xml:space="preserve"> y en 2007 su proporción creció más rápidamente</w:t>
      </w:r>
      <w:r w:rsidR="003A5B49" w:rsidRPr="00174250">
        <w:rPr>
          <w:rFonts w:ascii="Times New Roman" w:hAnsi="Times New Roman"/>
          <w:sz w:val="24"/>
          <w:szCs w:val="24"/>
        </w:rPr>
        <w:t xml:space="preserve"> que el resto de las entidades</w:t>
      </w:r>
      <w:r w:rsidRPr="00174250">
        <w:rPr>
          <w:rFonts w:ascii="Times New Roman" w:hAnsi="Times New Roman"/>
          <w:sz w:val="24"/>
          <w:szCs w:val="24"/>
        </w:rPr>
        <w:t xml:space="preserve">. En un segundo grupo se encuentran </w:t>
      </w:r>
      <w:r w:rsidR="008E52FC">
        <w:rPr>
          <w:rFonts w:ascii="Times New Roman" w:hAnsi="Times New Roman"/>
          <w:sz w:val="24"/>
          <w:szCs w:val="24"/>
        </w:rPr>
        <w:t xml:space="preserve">los estados de </w:t>
      </w:r>
      <w:r w:rsidRPr="00174250">
        <w:rPr>
          <w:rFonts w:ascii="Times New Roman" w:hAnsi="Times New Roman"/>
          <w:sz w:val="24"/>
          <w:szCs w:val="24"/>
        </w:rPr>
        <w:t>Michoacán, Guanajuato y Veracruz</w:t>
      </w:r>
      <w:r w:rsidR="008E52FC">
        <w:rPr>
          <w:rFonts w:ascii="Times New Roman" w:hAnsi="Times New Roman"/>
          <w:sz w:val="24"/>
          <w:szCs w:val="24"/>
        </w:rPr>
        <w:t xml:space="preserve"> con un impacto en su </w:t>
      </w:r>
      <w:r w:rsidR="006138B9">
        <w:rPr>
          <w:rFonts w:ascii="Times New Roman" w:hAnsi="Times New Roman"/>
          <w:sz w:val="24"/>
          <w:szCs w:val="24"/>
        </w:rPr>
        <w:t>PIBE</w:t>
      </w:r>
      <w:r w:rsidR="008E52FC">
        <w:rPr>
          <w:rFonts w:ascii="Times New Roman" w:hAnsi="Times New Roman"/>
          <w:sz w:val="24"/>
          <w:szCs w:val="24"/>
        </w:rPr>
        <w:t xml:space="preserve"> de 1.73%, 1.70% y 1.55%</w:t>
      </w:r>
      <w:r w:rsidRPr="00174250">
        <w:rPr>
          <w:rFonts w:ascii="Times New Roman" w:hAnsi="Times New Roman"/>
          <w:sz w:val="24"/>
          <w:szCs w:val="24"/>
        </w:rPr>
        <w:t>,</w:t>
      </w:r>
      <w:r w:rsidR="008E52FC">
        <w:rPr>
          <w:rFonts w:ascii="Times New Roman" w:hAnsi="Times New Roman"/>
          <w:sz w:val="24"/>
          <w:szCs w:val="24"/>
        </w:rPr>
        <w:t xml:space="preserve"> los cuales dejaron de recibir en 2009 </w:t>
      </w:r>
      <w:r w:rsidRPr="00174250">
        <w:rPr>
          <w:rFonts w:ascii="Times New Roman" w:hAnsi="Times New Roman"/>
          <w:sz w:val="24"/>
          <w:szCs w:val="24"/>
        </w:rPr>
        <w:t xml:space="preserve"> </w:t>
      </w:r>
      <w:r w:rsidR="008E52FC">
        <w:rPr>
          <w:rFonts w:ascii="Times New Roman" w:hAnsi="Times New Roman"/>
          <w:sz w:val="24"/>
          <w:szCs w:val="24"/>
        </w:rPr>
        <w:t>$ US 711</w:t>
      </w:r>
      <w:r w:rsidR="008E52FC" w:rsidRPr="008E52FC">
        <w:rPr>
          <w:rFonts w:ascii="Times New Roman" w:hAnsi="Times New Roman"/>
          <w:sz w:val="24"/>
          <w:szCs w:val="24"/>
        </w:rPr>
        <w:t xml:space="preserve"> </w:t>
      </w:r>
      <w:r w:rsidR="008E52FC">
        <w:rPr>
          <w:rFonts w:ascii="Times New Roman" w:hAnsi="Times New Roman"/>
          <w:sz w:val="24"/>
          <w:szCs w:val="24"/>
        </w:rPr>
        <w:t>mil dólares, 1</w:t>
      </w:r>
      <w:r w:rsidR="00916FD5">
        <w:rPr>
          <w:rFonts w:ascii="Times New Roman" w:hAnsi="Times New Roman"/>
          <w:sz w:val="24"/>
          <w:szCs w:val="24"/>
        </w:rPr>
        <w:t>.</w:t>
      </w:r>
      <w:r w:rsidR="008E52FC">
        <w:rPr>
          <w:rFonts w:ascii="Times New Roman" w:hAnsi="Times New Roman"/>
          <w:sz w:val="24"/>
          <w:szCs w:val="24"/>
        </w:rPr>
        <w:t>1</w:t>
      </w:r>
      <w:r w:rsidR="00916FD5">
        <w:rPr>
          <w:rFonts w:ascii="Times New Roman" w:hAnsi="Times New Roman"/>
          <w:sz w:val="24"/>
          <w:szCs w:val="24"/>
        </w:rPr>
        <w:t xml:space="preserve"> millones de</w:t>
      </w:r>
      <w:r w:rsidR="008E52FC">
        <w:rPr>
          <w:rFonts w:ascii="Times New Roman" w:hAnsi="Times New Roman"/>
          <w:sz w:val="24"/>
          <w:szCs w:val="24"/>
        </w:rPr>
        <w:t xml:space="preserve"> dólares y 1</w:t>
      </w:r>
      <w:r w:rsidR="00916FD5">
        <w:rPr>
          <w:rFonts w:ascii="Times New Roman" w:hAnsi="Times New Roman"/>
          <w:sz w:val="24"/>
          <w:szCs w:val="24"/>
        </w:rPr>
        <w:t>.</w:t>
      </w:r>
      <w:r w:rsidR="008E52FC">
        <w:rPr>
          <w:rFonts w:ascii="Times New Roman" w:hAnsi="Times New Roman"/>
          <w:sz w:val="24"/>
          <w:szCs w:val="24"/>
        </w:rPr>
        <w:t>2</w:t>
      </w:r>
      <w:r w:rsidR="00916FD5">
        <w:rPr>
          <w:rFonts w:ascii="Times New Roman" w:hAnsi="Times New Roman"/>
          <w:sz w:val="24"/>
          <w:szCs w:val="24"/>
        </w:rPr>
        <w:t xml:space="preserve"> millones de</w:t>
      </w:r>
      <w:r w:rsidR="008E52FC">
        <w:rPr>
          <w:rFonts w:ascii="Times New Roman" w:hAnsi="Times New Roman"/>
          <w:sz w:val="24"/>
          <w:szCs w:val="24"/>
        </w:rPr>
        <w:t xml:space="preserve"> dólares respectivamente.</w:t>
      </w:r>
      <w:r w:rsidR="00687A16" w:rsidRPr="00174250">
        <w:rPr>
          <w:rFonts w:ascii="Times New Roman" w:hAnsi="Times New Roman"/>
          <w:sz w:val="24"/>
          <w:szCs w:val="24"/>
        </w:rPr>
        <w:t xml:space="preserve"> Esto se corresponde con el hecho de que desde </w:t>
      </w:r>
      <w:r w:rsidR="00687A16" w:rsidRPr="00174250">
        <w:rPr>
          <w:rFonts w:ascii="Times New Roman" w:hAnsi="Times New Roman"/>
          <w:sz w:val="24"/>
          <w:szCs w:val="24"/>
        </w:rPr>
        <w:lastRenderedPageBreak/>
        <w:t>noviembre de 2008 ha habido una caída permanente de las remesas, sumando ya 14 meses consecutivos.</w:t>
      </w:r>
    </w:p>
    <w:p w:rsidR="002124E2" w:rsidRPr="00174250" w:rsidRDefault="002124E2" w:rsidP="002124E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2124E2" w:rsidRDefault="003A5B49" w:rsidP="00CB1E2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17425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Saldo de las remesas 2009/2007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1380"/>
        <w:gridCol w:w="1240"/>
        <w:gridCol w:w="1540"/>
        <w:gridCol w:w="1271"/>
        <w:gridCol w:w="1275"/>
        <w:gridCol w:w="1276"/>
      </w:tblGrid>
      <w:tr w:rsidR="00FD131A" w:rsidRPr="00FD131A" w:rsidTr="00FD131A">
        <w:trPr>
          <w:trHeight w:val="945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Entidades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Saldo remesas US 2009-2007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PIB 2007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Saldo US remesas 2009-2007/P1B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Ingreso US remesas diario 2007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ingreso US remesas diario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Pérdida US remesas diaria 2009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Zacatecas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61,969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4.1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2.08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1.56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0.515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Hidalgo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119,023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3.96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2.98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0.957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Chiapas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143,620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2.83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0.824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132,340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2.75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3.89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3.15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0.739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125,254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2.34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3.89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0.595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Michoacán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203,076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1.73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6.56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0.711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Guanajuato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324,895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1.7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6.45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5.33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1.122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Veracruz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386,085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1.55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4.76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3.55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1.213</w:t>
            </w:r>
          </w:p>
        </w:tc>
      </w:tr>
      <w:tr w:rsidR="00FD131A" w:rsidRPr="00FD131A" w:rsidTr="00FD131A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PAIS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4,894,7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8,359,946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D131A" w:rsidRPr="00FD131A" w:rsidRDefault="00FD131A" w:rsidP="00FD1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0.79</w:t>
            </w:r>
            <w:r w:rsidR="00916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71.44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58.03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FD131A" w:rsidRPr="00FD131A" w:rsidRDefault="00FD131A" w:rsidP="00FD131A">
            <w:pPr>
              <w:jc w:val="right"/>
              <w:rPr>
                <w:rFonts w:eastAsia="Times New Roman"/>
                <w:color w:val="000000"/>
                <w:lang w:eastAsia="es-MX"/>
              </w:rPr>
            </w:pPr>
            <w:r w:rsidRPr="00FD131A">
              <w:rPr>
                <w:rFonts w:eastAsia="Times New Roman"/>
                <w:color w:val="000000"/>
                <w:lang w:eastAsia="es-MX"/>
              </w:rPr>
              <w:t>13.410</w:t>
            </w:r>
          </w:p>
        </w:tc>
      </w:tr>
    </w:tbl>
    <w:p w:rsidR="0037372F" w:rsidRDefault="00687A16" w:rsidP="003737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FUENTE: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 xml:space="preserve"> </w:t>
      </w:r>
      <w:r w:rsidR="0037372F"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Banco de México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37372F"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Ingresos mensuales por Remesas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Febrero de 2010; INEGI, Dirección General de Estadísticas Económicas. Dirección General Adjunta de Cuentas Nacionales. </w:t>
      </w:r>
    </w:p>
    <w:p w:rsidR="00FD131A" w:rsidRDefault="00FD131A" w:rsidP="002124E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</w:p>
    <w:p w:rsidR="002124E2" w:rsidRPr="00174250" w:rsidRDefault="002124E2" w:rsidP="002124E2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 xml:space="preserve">Entonces, las entidades de Zacatecas, Hidalgo, Chiapas, Guerrero y Oaxaca ya son focos rojos que requieren de una intervención inmediata del Estado mexicano a fin de reducir al mínimo los estragos económicos de esta situación, mientras que Michoacán, Guanajuato y Veracruz se encuentra en un segundo </w:t>
      </w:r>
      <w:r w:rsidRPr="00236F3A">
        <w:rPr>
          <w:rFonts w:ascii="Times New Roman" w:hAnsi="Times New Roman"/>
          <w:sz w:val="24"/>
          <w:szCs w:val="24"/>
        </w:rPr>
        <w:t>grupo</w:t>
      </w:r>
      <w:r w:rsidR="006138B9" w:rsidRPr="00236F3A">
        <w:rPr>
          <w:rFonts w:ascii="Times New Roman" w:hAnsi="Times New Roman"/>
          <w:sz w:val="24"/>
          <w:szCs w:val="24"/>
        </w:rPr>
        <w:t xml:space="preserve"> y</w:t>
      </w:r>
      <w:r w:rsidRPr="00236F3A">
        <w:rPr>
          <w:rFonts w:ascii="Times New Roman" w:hAnsi="Times New Roman"/>
          <w:sz w:val="24"/>
          <w:szCs w:val="24"/>
        </w:rPr>
        <w:t xml:space="preserve"> que</w:t>
      </w:r>
      <w:r w:rsidRPr="00174250">
        <w:rPr>
          <w:rFonts w:ascii="Times New Roman" w:hAnsi="Times New Roman"/>
          <w:sz w:val="24"/>
          <w:szCs w:val="24"/>
        </w:rPr>
        <w:t>, en 2010 podrían tener la misma característica</w:t>
      </w:r>
      <w:r w:rsidR="009C4269" w:rsidRPr="00174250">
        <w:rPr>
          <w:rFonts w:ascii="Times New Roman" w:hAnsi="Times New Roman"/>
          <w:sz w:val="24"/>
          <w:szCs w:val="24"/>
        </w:rPr>
        <w:t xml:space="preserve"> de continuar esta tendencia</w:t>
      </w:r>
      <w:r w:rsidRPr="00174250">
        <w:rPr>
          <w:rFonts w:ascii="Times New Roman" w:hAnsi="Times New Roman"/>
          <w:sz w:val="24"/>
          <w:szCs w:val="24"/>
        </w:rPr>
        <w:t>.</w:t>
      </w:r>
    </w:p>
    <w:p w:rsidR="002124E2" w:rsidRPr="00174250" w:rsidRDefault="002124E2" w:rsidP="002124E2">
      <w:pPr>
        <w:jc w:val="both"/>
        <w:rPr>
          <w:rFonts w:ascii="Times New Roman" w:hAnsi="Times New Roman"/>
          <w:sz w:val="24"/>
          <w:szCs w:val="24"/>
        </w:rPr>
      </w:pPr>
    </w:p>
    <w:p w:rsidR="001E7E8B" w:rsidRPr="00174250" w:rsidRDefault="001E7E8B" w:rsidP="001E7E8B">
      <w:pPr>
        <w:jc w:val="center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b/>
          <w:bCs/>
          <w:sz w:val="24"/>
          <w:szCs w:val="24"/>
        </w:rPr>
        <w:t>Crecimiento en la dependencia de las remesas: 2003-2007</w:t>
      </w:r>
    </w:p>
    <w:p w:rsidR="001E7E8B" w:rsidRPr="00174250" w:rsidRDefault="00E13A2F" w:rsidP="007C2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5629275" cy="2952750"/>
            <wp:effectExtent l="19050" t="19050" r="28575" b="1905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372F" w:rsidRDefault="00687A16" w:rsidP="003737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sz w:val="24"/>
          <w:szCs w:val="24"/>
        </w:rPr>
        <w:t>FUENTE:</w:t>
      </w:r>
      <w:r w:rsidR="0037372F">
        <w:rPr>
          <w:rFonts w:ascii="Times New Roman" w:hAnsi="Times New Roman"/>
          <w:sz w:val="24"/>
          <w:szCs w:val="24"/>
        </w:rPr>
        <w:t xml:space="preserve"> </w:t>
      </w:r>
      <w:r w:rsidR="0037372F"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Banco de México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</w:t>
      </w:r>
      <w:r w:rsidR="0037372F" w:rsidRPr="00687A16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Ingresos mensuales por Remesas</w:t>
      </w:r>
      <w:r w:rsidR="0037372F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 xml:space="preserve">, Febrero de 2010 </w:t>
      </w:r>
    </w:p>
    <w:p w:rsidR="001E7E8B" w:rsidRPr="00174250" w:rsidRDefault="001E7E8B" w:rsidP="007C22DD">
      <w:pPr>
        <w:jc w:val="both"/>
        <w:rPr>
          <w:rFonts w:ascii="Times New Roman" w:hAnsi="Times New Roman"/>
          <w:sz w:val="24"/>
          <w:szCs w:val="24"/>
        </w:rPr>
      </w:pPr>
    </w:p>
    <w:p w:rsidR="001E7E8B" w:rsidRPr="00174250" w:rsidRDefault="001E7E8B" w:rsidP="001E7E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A16" w:rsidRDefault="00F57AC6" w:rsidP="007C22DD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 xml:space="preserve">A nivel microsocial, es decir, de los </w:t>
      </w:r>
      <w:r w:rsidRPr="00236F3A">
        <w:rPr>
          <w:rFonts w:ascii="Times New Roman" w:hAnsi="Times New Roman"/>
          <w:sz w:val="24"/>
          <w:szCs w:val="24"/>
        </w:rPr>
        <w:t>hogares receptores de remesas</w:t>
      </w:r>
      <w:r w:rsidR="00797429" w:rsidRPr="00236F3A">
        <w:rPr>
          <w:rFonts w:ascii="Times New Roman" w:hAnsi="Times New Roman"/>
          <w:sz w:val="24"/>
          <w:szCs w:val="24"/>
        </w:rPr>
        <w:t>, aunque en 2009 el dólar estadounidense mostr</w:t>
      </w:r>
      <w:r w:rsidR="000C3C75" w:rsidRPr="00236F3A">
        <w:rPr>
          <w:rFonts w:ascii="Times New Roman" w:hAnsi="Times New Roman"/>
          <w:sz w:val="24"/>
          <w:szCs w:val="24"/>
        </w:rPr>
        <w:t>ó</w:t>
      </w:r>
      <w:r w:rsidR="00797429" w:rsidRPr="00236F3A">
        <w:rPr>
          <w:rFonts w:ascii="Times New Roman" w:hAnsi="Times New Roman"/>
          <w:sz w:val="24"/>
          <w:szCs w:val="24"/>
        </w:rPr>
        <w:t xml:space="preserve"> un tipo de cambio favorable </w:t>
      </w:r>
      <w:r w:rsidR="006138B9" w:rsidRPr="00236F3A">
        <w:rPr>
          <w:rFonts w:ascii="Times New Roman" w:hAnsi="Times New Roman"/>
          <w:sz w:val="24"/>
          <w:szCs w:val="24"/>
        </w:rPr>
        <w:t xml:space="preserve">frente al peso mexicano, </w:t>
      </w:r>
      <w:r w:rsidR="00797429" w:rsidRPr="00236F3A">
        <w:rPr>
          <w:rFonts w:ascii="Times New Roman" w:hAnsi="Times New Roman"/>
          <w:sz w:val="24"/>
          <w:szCs w:val="24"/>
        </w:rPr>
        <w:t xml:space="preserve">no se puede </w:t>
      </w:r>
      <w:r w:rsidR="009C4269" w:rsidRPr="00236F3A">
        <w:rPr>
          <w:rFonts w:ascii="Times New Roman" w:hAnsi="Times New Roman"/>
          <w:sz w:val="24"/>
          <w:szCs w:val="24"/>
        </w:rPr>
        <w:t xml:space="preserve">afirmar </w:t>
      </w:r>
      <w:r w:rsidR="002124E2" w:rsidRPr="00236F3A">
        <w:rPr>
          <w:rFonts w:ascii="Times New Roman" w:hAnsi="Times New Roman"/>
          <w:sz w:val="24"/>
          <w:szCs w:val="24"/>
        </w:rPr>
        <w:t xml:space="preserve">con ligereza </w:t>
      </w:r>
      <w:r w:rsidR="00797429" w:rsidRPr="00236F3A">
        <w:rPr>
          <w:rFonts w:ascii="Times New Roman" w:hAnsi="Times New Roman"/>
          <w:sz w:val="24"/>
          <w:szCs w:val="24"/>
        </w:rPr>
        <w:t xml:space="preserve">que ello haya compensado la reducción. Un indicador </w:t>
      </w:r>
      <w:r w:rsidR="002124E2" w:rsidRPr="00236F3A">
        <w:rPr>
          <w:rFonts w:ascii="Times New Roman" w:hAnsi="Times New Roman"/>
          <w:sz w:val="24"/>
          <w:szCs w:val="24"/>
        </w:rPr>
        <w:t>en contra</w:t>
      </w:r>
      <w:r w:rsidR="002124E2" w:rsidRPr="00174250">
        <w:rPr>
          <w:rFonts w:ascii="Times New Roman" w:hAnsi="Times New Roman"/>
          <w:sz w:val="24"/>
          <w:szCs w:val="24"/>
        </w:rPr>
        <w:t xml:space="preserve"> de esa </w:t>
      </w:r>
      <w:r w:rsidR="009C4269" w:rsidRPr="00174250">
        <w:rPr>
          <w:rFonts w:ascii="Times New Roman" w:hAnsi="Times New Roman"/>
          <w:sz w:val="24"/>
          <w:szCs w:val="24"/>
        </w:rPr>
        <w:t xml:space="preserve">tesis </w:t>
      </w:r>
      <w:r w:rsidR="00797429" w:rsidRPr="00174250">
        <w:rPr>
          <w:rFonts w:ascii="Times New Roman" w:hAnsi="Times New Roman"/>
          <w:sz w:val="24"/>
          <w:szCs w:val="24"/>
        </w:rPr>
        <w:t xml:space="preserve">es que </w:t>
      </w:r>
      <w:r w:rsidR="000C3C75" w:rsidRPr="00174250">
        <w:rPr>
          <w:rFonts w:ascii="Times New Roman" w:hAnsi="Times New Roman"/>
          <w:sz w:val="24"/>
          <w:szCs w:val="24"/>
        </w:rPr>
        <w:t xml:space="preserve">en 2009 </w:t>
      </w:r>
      <w:r w:rsidR="009104D6" w:rsidRPr="00174250">
        <w:rPr>
          <w:rFonts w:ascii="Times New Roman" w:hAnsi="Times New Roman"/>
          <w:sz w:val="24"/>
          <w:szCs w:val="24"/>
        </w:rPr>
        <w:t xml:space="preserve">el número de </w:t>
      </w:r>
      <w:r w:rsidR="00797429" w:rsidRPr="00174250">
        <w:rPr>
          <w:rFonts w:ascii="Times New Roman" w:hAnsi="Times New Roman"/>
          <w:sz w:val="24"/>
          <w:szCs w:val="24"/>
        </w:rPr>
        <w:t>las transacciones por envío se reduj</w:t>
      </w:r>
      <w:r w:rsidR="009104D6" w:rsidRPr="00174250">
        <w:rPr>
          <w:rFonts w:ascii="Times New Roman" w:hAnsi="Times New Roman"/>
          <w:sz w:val="24"/>
          <w:szCs w:val="24"/>
        </w:rPr>
        <w:t>o</w:t>
      </w:r>
      <w:r w:rsidR="00797429" w:rsidRPr="00174250">
        <w:rPr>
          <w:rFonts w:ascii="Times New Roman" w:hAnsi="Times New Roman"/>
          <w:sz w:val="24"/>
          <w:szCs w:val="24"/>
        </w:rPr>
        <w:t xml:space="preserve"> en </w:t>
      </w:r>
      <w:r w:rsidR="009104D6" w:rsidRPr="00174250">
        <w:rPr>
          <w:rFonts w:ascii="Times New Roman" w:hAnsi="Times New Roman"/>
          <w:sz w:val="24"/>
          <w:szCs w:val="24"/>
        </w:rPr>
        <w:t xml:space="preserve">8'904,000 respecto de 2007; además de que cayó </w:t>
      </w:r>
      <w:r w:rsidR="000C3C75" w:rsidRPr="00174250">
        <w:rPr>
          <w:rFonts w:ascii="Times New Roman" w:hAnsi="Times New Roman"/>
          <w:sz w:val="24"/>
          <w:szCs w:val="24"/>
        </w:rPr>
        <w:t xml:space="preserve">drásticamente </w:t>
      </w:r>
      <w:r w:rsidR="009104D6" w:rsidRPr="00174250">
        <w:rPr>
          <w:rFonts w:ascii="Times New Roman" w:hAnsi="Times New Roman"/>
          <w:sz w:val="24"/>
          <w:szCs w:val="24"/>
        </w:rPr>
        <w:t xml:space="preserve">el monto promedio por envío, pasando </w:t>
      </w:r>
      <w:r w:rsidR="0026784B" w:rsidRPr="00174250">
        <w:rPr>
          <w:rFonts w:ascii="Times New Roman" w:hAnsi="Times New Roman"/>
          <w:sz w:val="24"/>
          <w:szCs w:val="24"/>
        </w:rPr>
        <w:t xml:space="preserve">de </w:t>
      </w:r>
      <w:r w:rsidR="009104D6" w:rsidRPr="00174250">
        <w:rPr>
          <w:rFonts w:ascii="Times New Roman" w:hAnsi="Times New Roman"/>
          <w:sz w:val="24"/>
          <w:szCs w:val="24"/>
        </w:rPr>
        <w:t>$ US 346 en 2008 a $</w:t>
      </w:r>
      <w:r w:rsidR="00FD7AE7" w:rsidRPr="00174250">
        <w:rPr>
          <w:rFonts w:ascii="Times New Roman" w:hAnsi="Times New Roman"/>
          <w:sz w:val="24"/>
          <w:szCs w:val="24"/>
        </w:rPr>
        <w:t xml:space="preserve"> </w:t>
      </w:r>
      <w:r w:rsidR="009104D6" w:rsidRPr="00174250">
        <w:rPr>
          <w:rFonts w:ascii="Times New Roman" w:hAnsi="Times New Roman"/>
          <w:sz w:val="24"/>
          <w:szCs w:val="24"/>
        </w:rPr>
        <w:t xml:space="preserve">US 317, cifra que por primera vez en este periodo se desplomó por </w:t>
      </w:r>
      <w:r w:rsidR="0026784B" w:rsidRPr="00174250">
        <w:rPr>
          <w:rFonts w:ascii="Times New Roman" w:hAnsi="Times New Roman"/>
          <w:sz w:val="24"/>
          <w:szCs w:val="24"/>
        </w:rPr>
        <w:t>de</w:t>
      </w:r>
      <w:r w:rsidR="009104D6" w:rsidRPr="00174250">
        <w:rPr>
          <w:rFonts w:ascii="Times New Roman" w:hAnsi="Times New Roman"/>
          <w:sz w:val="24"/>
          <w:szCs w:val="24"/>
        </w:rPr>
        <w:t>bajo de los 300 dólares en los meses de octubre a diciembre de 2009</w:t>
      </w:r>
      <w:r w:rsidR="00687A16">
        <w:rPr>
          <w:rFonts w:ascii="Times New Roman" w:hAnsi="Times New Roman"/>
          <w:sz w:val="24"/>
          <w:szCs w:val="24"/>
        </w:rPr>
        <w:t xml:space="preserve">. </w:t>
      </w:r>
    </w:p>
    <w:p w:rsidR="006138B9" w:rsidRPr="00174250" w:rsidRDefault="006138B9" w:rsidP="007C22DD">
      <w:pPr>
        <w:jc w:val="both"/>
        <w:rPr>
          <w:rFonts w:ascii="Times New Roman" w:hAnsi="Times New Roman"/>
          <w:sz w:val="24"/>
          <w:szCs w:val="24"/>
        </w:rPr>
      </w:pPr>
    </w:p>
    <w:p w:rsidR="003E424B" w:rsidRDefault="009C4269" w:rsidP="007C22DD">
      <w:pPr>
        <w:jc w:val="both"/>
        <w:rPr>
          <w:rFonts w:ascii="Times New Roman" w:hAnsi="Times New Roman"/>
          <w:sz w:val="24"/>
          <w:szCs w:val="24"/>
        </w:rPr>
      </w:pPr>
      <w:r w:rsidRPr="00174250">
        <w:rPr>
          <w:rFonts w:ascii="Times New Roman" w:hAnsi="Times New Roman"/>
          <w:sz w:val="24"/>
          <w:szCs w:val="24"/>
        </w:rPr>
        <w:t>A lo anterior hay que agregar que</w:t>
      </w:r>
      <w:r w:rsidR="00682505" w:rsidRPr="00174250">
        <w:rPr>
          <w:rFonts w:ascii="Times New Roman" w:hAnsi="Times New Roman"/>
          <w:sz w:val="24"/>
          <w:szCs w:val="24"/>
        </w:rPr>
        <w:t xml:space="preserve">, aunque hay entidades en donde la caída de las remesas no tiene un peso </w:t>
      </w:r>
      <w:r w:rsidRPr="00174250">
        <w:rPr>
          <w:rFonts w:ascii="Times New Roman" w:hAnsi="Times New Roman"/>
          <w:sz w:val="24"/>
          <w:szCs w:val="24"/>
        </w:rPr>
        <w:t>económico</w:t>
      </w:r>
      <w:r w:rsidR="00682505" w:rsidRPr="00174250">
        <w:rPr>
          <w:rFonts w:ascii="Times New Roman" w:hAnsi="Times New Roman"/>
          <w:sz w:val="24"/>
          <w:szCs w:val="24"/>
        </w:rPr>
        <w:t xml:space="preserve"> en el PIBE, no se puede negar que ello ha impactado a un número considerable de hogares, como ya sucede en entidades con caídas drásticas como: Michoacán, Jalisco, Estado de México, Puebla y Veracruz. </w:t>
      </w:r>
    </w:p>
    <w:p w:rsidR="005C0659" w:rsidRDefault="005C0659" w:rsidP="007C22DD">
      <w:pPr>
        <w:jc w:val="both"/>
        <w:rPr>
          <w:rFonts w:ascii="Times New Roman" w:hAnsi="Times New Roman"/>
          <w:sz w:val="24"/>
          <w:szCs w:val="24"/>
        </w:rPr>
      </w:pPr>
    </w:p>
    <w:p w:rsidR="006138B9" w:rsidRPr="00236F3A" w:rsidRDefault="005C0659" w:rsidP="0061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 </w:t>
      </w:r>
      <w:r w:rsidR="006D3A26">
        <w:rPr>
          <w:rFonts w:ascii="Times New Roman" w:hAnsi="Times New Roman"/>
          <w:sz w:val="24"/>
          <w:szCs w:val="24"/>
        </w:rPr>
        <w:t xml:space="preserve">las causas en la reducción de las remesas </w:t>
      </w:r>
      <w:r>
        <w:rPr>
          <w:rFonts w:ascii="Times New Roman" w:hAnsi="Times New Roman"/>
          <w:sz w:val="24"/>
          <w:szCs w:val="24"/>
        </w:rPr>
        <w:t xml:space="preserve">figura la situación de crisis </w:t>
      </w:r>
      <w:r w:rsidR="005527EF">
        <w:rPr>
          <w:rFonts w:ascii="Times New Roman" w:hAnsi="Times New Roman"/>
          <w:sz w:val="24"/>
          <w:szCs w:val="24"/>
        </w:rPr>
        <w:t xml:space="preserve">económica </w:t>
      </w:r>
      <w:r>
        <w:rPr>
          <w:rFonts w:ascii="Times New Roman" w:hAnsi="Times New Roman"/>
          <w:sz w:val="24"/>
          <w:szCs w:val="24"/>
        </w:rPr>
        <w:t>que priva en Estados Unidos, misma que en términos laborales ha tenido varias expresiones como son: el desempleo parcial o total</w:t>
      </w:r>
      <w:r w:rsidR="005527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 reducción de los salarios</w:t>
      </w:r>
      <w:r w:rsidR="005527EF">
        <w:rPr>
          <w:rFonts w:ascii="Times New Roman" w:hAnsi="Times New Roman"/>
          <w:sz w:val="24"/>
          <w:szCs w:val="24"/>
        </w:rPr>
        <w:t xml:space="preserve"> y las insolvencia financiera para hacer frente a la crisis inmobiliaria que ha llevado a migrantes documentados o no a perder sus propiedades</w:t>
      </w:r>
      <w:r w:rsidR="006D3A2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todo lo cual se expresa en la imposibilidad de enviar remesas periódicamente, espaciar y reducir los envíos, y en el peor de los casos, dejar de </w:t>
      </w:r>
      <w:r w:rsidR="005527EF" w:rsidRPr="00236F3A">
        <w:rPr>
          <w:rFonts w:ascii="Times New Roman" w:hAnsi="Times New Roman"/>
          <w:sz w:val="24"/>
          <w:szCs w:val="24"/>
        </w:rPr>
        <w:t>hacerlo</w:t>
      </w:r>
      <w:r w:rsidRPr="00236F3A">
        <w:rPr>
          <w:rFonts w:ascii="Times New Roman" w:hAnsi="Times New Roman"/>
          <w:sz w:val="24"/>
          <w:szCs w:val="24"/>
        </w:rPr>
        <w:t xml:space="preserve">. </w:t>
      </w:r>
      <w:r w:rsidR="006138B9" w:rsidRPr="00236F3A">
        <w:rPr>
          <w:rFonts w:ascii="Times New Roman" w:hAnsi="Times New Roman"/>
          <w:sz w:val="24"/>
          <w:szCs w:val="24"/>
        </w:rPr>
        <w:t xml:space="preserve">Por supuesto, esto sólo se puede probar a través de investigaciones de campo. </w:t>
      </w:r>
    </w:p>
    <w:p w:rsidR="006D3A26" w:rsidRPr="00236F3A" w:rsidRDefault="006D3A26" w:rsidP="007C22DD">
      <w:pPr>
        <w:jc w:val="both"/>
        <w:rPr>
          <w:rFonts w:ascii="Times New Roman" w:hAnsi="Times New Roman"/>
          <w:sz w:val="24"/>
          <w:szCs w:val="24"/>
        </w:rPr>
      </w:pPr>
    </w:p>
    <w:p w:rsidR="006D3A26" w:rsidRDefault="006D3A26" w:rsidP="007C22DD">
      <w:pPr>
        <w:jc w:val="both"/>
        <w:rPr>
          <w:rFonts w:ascii="Times New Roman" w:hAnsi="Times New Roman"/>
          <w:sz w:val="24"/>
          <w:szCs w:val="24"/>
        </w:rPr>
      </w:pPr>
    </w:p>
    <w:p w:rsidR="006D3A26" w:rsidRDefault="005C0659" w:rsidP="007C2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la crisis ha generado otros efectos </w:t>
      </w:r>
      <w:r w:rsidR="005527EF">
        <w:rPr>
          <w:rFonts w:ascii="Times New Roman" w:hAnsi="Times New Roman"/>
          <w:sz w:val="24"/>
          <w:szCs w:val="24"/>
        </w:rPr>
        <w:t xml:space="preserve">en cadena </w:t>
      </w:r>
      <w:r>
        <w:rPr>
          <w:rFonts w:ascii="Times New Roman" w:hAnsi="Times New Roman"/>
          <w:sz w:val="24"/>
          <w:szCs w:val="24"/>
        </w:rPr>
        <w:t xml:space="preserve">que se presentan como </w:t>
      </w:r>
      <w:r w:rsidRPr="001D522C">
        <w:rPr>
          <w:rFonts w:ascii="Times New Roman" w:hAnsi="Times New Roman"/>
          <w:i/>
          <w:sz w:val="24"/>
          <w:szCs w:val="24"/>
        </w:rPr>
        <w:t xml:space="preserve">causas </w:t>
      </w:r>
      <w:r w:rsidR="006D3A26" w:rsidRPr="001D522C">
        <w:rPr>
          <w:rFonts w:ascii="Times New Roman" w:hAnsi="Times New Roman"/>
          <w:i/>
          <w:sz w:val="24"/>
          <w:szCs w:val="24"/>
        </w:rPr>
        <w:t>indirectas</w:t>
      </w:r>
      <w:r w:rsidR="006D3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 w:rsidR="006D3A26">
        <w:rPr>
          <w:rFonts w:ascii="Times New Roman" w:hAnsi="Times New Roman"/>
          <w:sz w:val="24"/>
          <w:szCs w:val="24"/>
        </w:rPr>
        <w:t xml:space="preserve"> el desplome</w:t>
      </w:r>
      <w:r>
        <w:rPr>
          <w:rFonts w:ascii="Times New Roman" w:hAnsi="Times New Roman"/>
          <w:sz w:val="24"/>
          <w:szCs w:val="24"/>
        </w:rPr>
        <w:t xml:space="preserve"> de las remesas, como sucede con la brusca caída del flujo de migrantes que se dirigían a Estados Unidos y que hasta 2006 era de alrededor de 400 mil personas por año, </w:t>
      </w:r>
      <w:r w:rsidR="005527EF">
        <w:rPr>
          <w:rFonts w:ascii="Times New Roman" w:hAnsi="Times New Roman"/>
          <w:sz w:val="24"/>
          <w:szCs w:val="24"/>
        </w:rPr>
        <w:t>el crecimiento de los connacionales que retornan a México por los programas en marcha de deportación</w:t>
      </w:r>
      <w:r w:rsidR="006D3A26">
        <w:rPr>
          <w:rFonts w:ascii="Times New Roman" w:hAnsi="Times New Roman"/>
          <w:sz w:val="24"/>
          <w:szCs w:val="24"/>
        </w:rPr>
        <w:t>, además de</w:t>
      </w:r>
      <w:r w:rsidR="005527EF">
        <w:rPr>
          <w:rFonts w:ascii="Times New Roman" w:hAnsi="Times New Roman"/>
          <w:sz w:val="24"/>
          <w:szCs w:val="24"/>
        </w:rPr>
        <w:t xml:space="preserve"> aquellos que han retornado “voluntariamente” compelidos por la situación de crisis que vive ese país.</w:t>
      </w:r>
      <w:r w:rsidR="006D3A26">
        <w:rPr>
          <w:rFonts w:ascii="Times New Roman" w:hAnsi="Times New Roman"/>
          <w:sz w:val="24"/>
          <w:szCs w:val="24"/>
        </w:rPr>
        <w:t xml:space="preserve"> En esta misma lógica se suceden eventos inéditos en donde se dan casos, así sea esporádicos</w:t>
      </w:r>
      <w:r w:rsidR="00236F3A">
        <w:rPr>
          <w:rFonts w:ascii="Times New Roman" w:hAnsi="Times New Roman"/>
          <w:sz w:val="24"/>
          <w:szCs w:val="24"/>
        </w:rPr>
        <w:t>,</w:t>
      </w:r>
      <w:r w:rsidR="006D3A26">
        <w:rPr>
          <w:rFonts w:ascii="Times New Roman" w:hAnsi="Times New Roman"/>
          <w:sz w:val="24"/>
          <w:szCs w:val="24"/>
        </w:rPr>
        <w:t xml:space="preserve"> </w:t>
      </w:r>
      <w:r w:rsidR="006138B9">
        <w:rPr>
          <w:rFonts w:ascii="Times New Roman" w:hAnsi="Times New Roman"/>
          <w:sz w:val="24"/>
          <w:szCs w:val="24"/>
        </w:rPr>
        <w:t xml:space="preserve">de </w:t>
      </w:r>
      <w:r w:rsidR="006D3A26">
        <w:rPr>
          <w:rFonts w:ascii="Times New Roman" w:hAnsi="Times New Roman"/>
          <w:sz w:val="24"/>
          <w:szCs w:val="24"/>
        </w:rPr>
        <w:t>env</w:t>
      </w:r>
      <w:r w:rsidR="006138B9">
        <w:rPr>
          <w:rFonts w:ascii="Times New Roman" w:hAnsi="Times New Roman"/>
          <w:sz w:val="24"/>
          <w:szCs w:val="24"/>
        </w:rPr>
        <w:t>ío de</w:t>
      </w:r>
      <w:r w:rsidR="006D3A26">
        <w:rPr>
          <w:rFonts w:ascii="Times New Roman" w:hAnsi="Times New Roman"/>
          <w:sz w:val="24"/>
          <w:szCs w:val="24"/>
        </w:rPr>
        <w:t xml:space="preserve"> remesas de México a Estados Unidos, sobre todo de aquellos migrantes que antes pudieron hacer alguna inversión</w:t>
      </w:r>
      <w:r w:rsidR="001D522C">
        <w:rPr>
          <w:rFonts w:ascii="Times New Roman" w:hAnsi="Times New Roman"/>
          <w:sz w:val="24"/>
          <w:szCs w:val="24"/>
        </w:rPr>
        <w:t xml:space="preserve"> en sus comunidades</w:t>
      </w:r>
      <w:r w:rsidR="006D3A26">
        <w:rPr>
          <w:rFonts w:ascii="Times New Roman" w:hAnsi="Times New Roman"/>
          <w:sz w:val="24"/>
          <w:szCs w:val="24"/>
        </w:rPr>
        <w:t xml:space="preserve">, o de migrantes que reciben </w:t>
      </w:r>
      <w:r w:rsidR="006D3A26" w:rsidRPr="001D522C">
        <w:rPr>
          <w:rFonts w:ascii="Times New Roman" w:hAnsi="Times New Roman"/>
          <w:i/>
          <w:sz w:val="24"/>
          <w:szCs w:val="24"/>
        </w:rPr>
        <w:t>apoyo</w:t>
      </w:r>
      <w:r w:rsidR="001D522C" w:rsidRPr="001D522C">
        <w:rPr>
          <w:rFonts w:ascii="Times New Roman" w:hAnsi="Times New Roman"/>
          <w:i/>
          <w:sz w:val="24"/>
          <w:szCs w:val="24"/>
        </w:rPr>
        <w:t>s</w:t>
      </w:r>
      <w:r w:rsidR="006D3A26" w:rsidRPr="001D522C">
        <w:rPr>
          <w:rFonts w:ascii="Times New Roman" w:hAnsi="Times New Roman"/>
          <w:i/>
          <w:sz w:val="24"/>
          <w:szCs w:val="24"/>
        </w:rPr>
        <w:t xml:space="preserve"> de emergencia</w:t>
      </w:r>
      <w:r w:rsidR="006D3A26">
        <w:rPr>
          <w:rFonts w:ascii="Times New Roman" w:hAnsi="Times New Roman"/>
          <w:sz w:val="24"/>
          <w:szCs w:val="24"/>
        </w:rPr>
        <w:t xml:space="preserve"> por parte de sus familiares</w:t>
      </w:r>
      <w:r w:rsidR="00457414">
        <w:rPr>
          <w:rFonts w:ascii="Times New Roman" w:hAnsi="Times New Roman"/>
          <w:sz w:val="24"/>
          <w:szCs w:val="24"/>
        </w:rPr>
        <w:t>:</w:t>
      </w:r>
      <w:r w:rsidR="006D3A26">
        <w:rPr>
          <w:rFonts w:ascii="Times New Roman" w:hAnsi="Times New Roman"/>
          <w:sz w:val="24"/>
          <w:szCs w:val="24"/>
        </w:rPr>
        <w:t xml:space="preserve"> se trata del </w:t>
      </w:r>
      <w:r w:rsidR="006D3A26" w:rsidRPr="001D522C">
        <w:rPr>
          <w:rFonts w:ascii="Times New Roman" w:hAnsi="Times New Roman"/>
          <w:i/>
          <w:sz w:val="24"/>
          <w:szCs w:val="24"/>
        </w:rPr>
        <w:t>sentido inverso en el destino de los envíos</w:t>
      </w:r>
      <w:r w:rsidR="006D3A26">
        <w:rPr>
          <w:rFonts w:ascii="Times New Roman" w:hAnsi="Times New Roman"/>
          <w:sz w:val="24"/>
          <w:szCs w:val="24"/>
        </w:rPr>
        <w:t>.</w:t>
      </w:r>
    </w:p>
    <w:p w:rsidR="006D3A26" w:rsidRDefault="006D3A26" w:rsidP="007C22DD">
      <w:pPr>
        <w:jc w:val="both"/>
        <w:rPr>
          <w:rFonts w:ascii="Times New Roman" w:hAnsi="Times New Roman"/>
          <w:sz w:val="24"/>
          <w:szCs w:val="24"/>
        </w:rPr>
      </w:pPr>
    </w:p>
    <w:p w:rsidR="00AB148E" w:rsidRDefault="00F2523E" w:rsidP="007C2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supuesto, </w:t>
      </w:r>
      <w:r w:rsidR="004E5F20">
        <w:rPr>
          <w:rFonts w:ascii="Times New Roman" w:hAnsi="Times New Roman"/>
          <w:sz w:val="24"/>
          <w:szCs w:val="24"/>
        </w:rPr>
        <w:t xml:space="preserve">la crisis </w:t>
      </w:r>
      <w:r>
        <w:rPr>
          <w:rFonts w:ascii="Times New Roman" w:hAnsi="Times New Roman"/>
          <w:sz w:val="24"/>
          <w:szCs w:val="24"/>
        </w:rPr>
        <w:t xml:space="preserve">dificulta y entorpece las </w:t>
      </w:r>
      <w:r w:rsidR="004E5F20">
        <w:rPr>
          <w:rFonts w:ascii="Times New Roman" w:hAnsi="Times New Roman"/>
          <w:sz w:val="24"/>
          <w:szCs w:val="24"/>
        </w:rPr>
        <w:t xml:space="preserve">iniciativas </w:t>
      </w:r>
      <w:r w:rsidR="001D522C">
        <w:rPr>
          <w:rFonts w:ascii="Times New Roman" w:hAnsi="Times New Roman"/>
          <w:sz w:val="24"/>
          <w:szCs w:val="24"/>
        </w:rPr>
        <w:t xml:space="preserve">favorables </w:t>
      </w:r>
      <w:r>
        <w:rPr>
          <w:rFonts w:ascii="Times New Roman" w:hAnsi="Times New Roman"/>
          <w:sz w:val="24"/>
          <w:szCs w:val="24"/>
        </w:rPr>
        <w:t xml:space="preserve">sobre una reforma migratoria, </w:t>
      </w:r>
      <w:r w:rsidR="001D522C">
        <w:rPr>
          <w:rFonts w:ascii="Times New Roman" w:hAnsi="Times New Roman"/>
          <w:sz w:val="24"/>
          <w:szCs w:val="24"/>
        </w:rPr>
        <w:t xml:space="preserve">pero, </w:t>
      </w:r>
      <w:r>
        <w:rPr>
          <w:rFonts w:ascii="Times New Roman" w:hAnsi="Times New Roman"/>
          <w:sz w:val="24"/>
          <w:szCs w:val="24"/>
        </w:rPr>
        <w:t xml:space="preserve">sin duda, </w:t>
      </w:r>
      <w:r w:rsidR="004E5F20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también </w:t>
      </w:r>
      <w:r w:rsidR="004E5F20">
        <w:rPr>
          <w:rFonts w:ascii="Times New Roman" w:hAnsi="Times New Roman"/>
          <w:sz w:val="24"/>
          <w:szCs w:val="24"/>
        </w:rPr>
        <w:t>la oportunidad d</w:t>
      </w:r>
      <w:r>
        <w:rPr>
          <w:rFonts w:ascii="Times New Roman" w:hAnsi="Times New Roman"/>
          <w:sz w:val="24"/>
          <w:szCs w:val="24"/>
        </w:rPr>
        <w:t xml:space="preserve">e abrir el debate y probar </w:t>
      </w:r>
      <w:r w:rsidR="001D522C">
        <w:rPr>
          <w:rFonts w:ascii="Times New Roman" w:hAnsi="Times New Roman"/>
          <w:sz w:val="24"/>
          <w:szCs w:val="24"/>
        </w:rPr>
        <w:t xml:space="preserve">a través de </w:t>
      </w:r>
      <w:r w:rsidR="001D522C" w:rsidRPr="001D522C">
        <w:rPr>
          <w:rFonts w:ascii="Times New Roman" w:hAnsi="Times New Roman"/>
          <w:i/>
          <w:sz w:val="24"/>
          <w:szCs w:val="24"/>
        </w:rPr>
        <w:t>indicadores consistentes</w:t>
      </w:r>
      <w:r>
        <w:rPr>
          <w:rFonts w:ascii="Times New Roman" w:hAnsi="Times New Roman"/>
          <w:sz w:val="24"/>
          <w:szCs w:val="24"/>
        </w:rPr>
        <w:t xml:space="preserve"> el aporte de los inmigrantes a la economía</w:t>
      </w:r>
      <w:r w:rsidR="004E5F20">
        <w:rPr>
          <w:rFonts w:ascii="Times New Roman" w:hAnsi="Times New Roman"/>
          <w:sz w:val="24"/>
          <w:szCs w:val="24"/>
        </w:rPr>
        <w:t xml:space="preserve"> estadounidense, además de tomar iniciativas conjuntas con otros países </w:t>
      </w:r>
      <w:r w:rsidR="00457414">
        <w:rPr>
          <w:rFonts w:ascii="Times New Roman" w:hAnsi="Times New Roman"/>
          <w:sz w:val="24"/>
          <w:szCs w:val="24"/>
        </w:rPr>
        <w:t xml:space="preserve">de la región </w:t>
      </w:r>
      <w:r w:rsidR="004E5F20">
        <w:rPr>
          <w:rFonts w:ascii="Times New Roman" w:hAnsi="Times New Roman"/>
          <w:sz w:val="24"/>
          <w:szCs w:val="24"/>
        </w:rPr>
        <w:t xml:space="preserve">que son importantes proveedores de mano de obra para ese país. Obviamente, del lado mexicano, es importante discutir el asunto de la </w:t>
      </w:r>
      <w:r w:rsidR="00457414" w:rsidRPr="00457414">
        <w:rPr>
          <w:rFonts w:ascii="Times New Roman" w:hAnsi="Times New Roman"/>
          <w:i/>
          <w:sz w:val="24"/>
          <w:szCs w:val="24"/>
        </w:rPr>
        <w:t>peligrosa</w:t>
      </w:r>
      <w:r w:rsidR="00457414">
        <w:rPr>
          <w:rFonts w:ascii="Times New Roman" w:hAnsi="Times New Roman"/>
          <w:sz w:val="24"/>
          <w:szCs w:val="24"/>
        </w:rPr>
        <w:t xml:space="preserve"> </w:t>
      </w:r>
      <w:r w:rsidR="004E5F20">
        <w:rPr>
          <w:rFonts w:ascii="Times New Roman" w:hAnsi="Times New Roman"/>
          <w:sz w:val="24"/>
          <w:szCs w:val="24"/>
        </w:rPr>
        <w:t xml:space="preserve">dependencia económica de las remesas respecto de entidades como </w:t>
      </w:r>
      <w:r w:rsidR="004E5F20" w:rsidRPr="00174250">
        <w:rPr>
          <w:rFonts w:ascii="Times New Roman" w:hAnsi="Times New Roman"/>
          <w:sz w:val="24"/>
          <w:szCs w:val="24"/>
        </w:rPr>
        <w:t>Zacatecas, Hidalgo, Chiapas, Guerrero</w:t>
      </w:r>
      <w:r w:rsidR="004E5F20">
        <w:rPr>
          <w:rFonts w:ascii="Times New Roman" w:hAnsi="Times New Roman"/>
          <w:sz w:val="24"/>
          <w:szCs w:val="24"/>
        </w:rPr>
        <w:t>,</w:t>
      </w:r>
      <w:r w:rsidR="004E5F20" w:rsidRPr="00174250">
        <w:rPr>
          <w:rFonts w:ascii="Times New Roman" w:hAnsi="Times New Roman"/>
          <w:sz w:val="24"/>
          <w:szCs w:val="24"/>
        </w:rPr>
        <w:t xml:space="preserve"> Oaxaca</w:t>
      </w:r>
      <w:r w:rsidR="004E5F20">
        <w:rPr>
          <w:rFonts w:ascii="Times New Roman" w:hAnsi="Times New Roman"/>
          <w:sz w:val="24"/>
          <w:szCs w:val="24"/>
        </w:rPr>
        <w:t>,</w:t>
      </w:r>
      <w:r w:rsidR="004E5F20" w:rsidRPr="00174250">
        <w:rPr>
          <w:rFonts w:ascii="Times New Roman" w:hAnsi="Times New Roman"/>
          <w:sz w:val="24"/>
          <w:szCs w:val="24"/>
        </w:rPr>
        <w:t xml:space="preserve"> Michoacán, Guanajuato y Veracruz</w:t>
      </w:r>
      <w:r w:rsidR="001D522C">
        <w:rPr>
          <w:rFonts w:ascii="Times New Roman" w:hAnsi="Times New Roman"/>
          <w:sz w:val="24"/>
          <w:szCs w:val="24"/>
        </w:rPr>
        <w:t xml:space="preserve"> en donde </w:t>
      </w:r>
      <w:r w:rsidR="00457414">
        <w:rPr>
          <w:rFonts w:ascii="Times New Roman" w:hAnsi="Times New Roman"/>
          <w:sz w:val="24"/>
          <w:szCs w:val="24"/>
        </w:rPr>
        <w:t xml:space="preserve">urge el diseño y puesta en marcha </w:t>
      </w:r>
      <w:r w:rsidR="001D522C">
        <w:rPr>
          <w:rFonts w:ascii="Times New Roman" w:hAnsi="Times New Roman"/>
          <w:sz w:val="24"/>
          <w:szCs w:val="24"/>
        </w:rPr>
        <w:t xml:space="preserve">de una </w:t>
      </w:r>
      <w:r w:rsidR="001D522C" w:rsidRPr="00457414">
        <w:rPr>
          <w:rFonts w:ascii="Times New Roman" w:hAnsi="Times New Roman"/>
          <w:i/>
          <w:sz w:val="24"/>
          <w:szCs w:val="24"/>
        </w:rPr>
        <w:t>estrategia de desarrollo focalizada</w:t>
      </w:r>
      <w:r w:rsidR="001D522C">
        <w:rPr>
          <w:rFonts w:ascii="Times New Roman" w:hAnsi="Times New Roman"/>
          <w:sz w:val="24"/>
          <w:szCs w:val="24"/>
        </w:rPr>
        <w:t xml:space="preserve">, que no será posible si sus agentes (de la sociedad civil y política) no toman en </w:t>
      </w:r>
      <w:r w:rsidR="00457414">
        <w:rPr>
          <w:rFonts w:ascii="Times New Roman" w:hAnsi="Times New Roman"/>
          <w:sz w:val="24"/>
          <w:szCs w:val="24"/>
        </w:rPr>
        <w:t xml:space="preserve">sus manos </w:t>
      </w:r>
      <w:r w:rsidR="001D522C">
        <w:rPr>
          <w:rFonts w:ascii="Times New Roman" w:hAnsi="Times New Roman"/>
          <w:sz w:val="24"/>
          <w:szCs w:val="24"/>
        </w:rPr>
        <w:t>esa</w:t>
      </w:r>
      <w:r w:rsidR="00457414">
        <w:rPr>
          <w:rFonts w:ascii="Times New Roman" w:hAnsi="Times New Roman"/>
          <w:sz w:val="24"/>
          <w:szCs w:val="24"/>
        </w:rPr>
        <w:t xml:space="preserve"> imperiosa</w:t>
      </w:r>
      <w:r w:rsidR="001D522C">
        <w:rPr>
          <w:rFonts w:ascii="Times New Roman" w:hAnsi="Times New Roman"/>
          <w:sz w:val="24"/>
          <w:szCs w:val="24"/>
        </w:rPr>
        <w:t xml:space="preserve"> necesidad. </w:t>
      </w:r>
    </w:p>
    <w:sectPr w:rsidR="00AB148E" w:rsidSect="00174250"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B4" w:rsidRDefault="006257B4" w:rsidP="00174250">
      <w:r>
        <w:separator/>
      </w:r>
    </w:p>
  </w:endnote>
  <w:endnote w:type="continuationSeparator" w:id="0">
    <w:p w:rsidR="006257B4" w:rsidRDefault="006257B4" w:rsidP="0017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B4" w:rsidRDefault="006257B4" w:rsidP="00174250">
      <w:r>
        <w:separator/>
      </w:r>
    </w:p>
  </w:footnote>
  <w:footnote w:type="continuationSeparator" w:id="0">
    <w:p w:rsidR="006257B4" w:rsidRDefault="006257B4" w:rsidP="0017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0" w:rsidRDefault="00174250">
    <w:pPr>
      <w:pStyle w:val="Encabezado"/>
      <w:jc w:val="right"/>
    </w:pPr>
    <w:fldSimple w:instr=" PAGE   \* MERGEFORMAT ">
      <w:r w:rsidR="00E13A2F">
        <w:rPr>
          <w:noProof/>
        </w:rPr>
        <w:t>4</w:t>
      </w:r>
    </w:fldSimple>
  </w:p>
  <w:p w:rsidR="00174250" w:rsidRDefault="0017425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32"/>
    <w:rsid w:val="00047F2B"/>
    <w:rsid w:val="00065482"/>
    <w:rsid w:val="0007655E"/>
    <w:rsid w:val="000856EE"/>
    <w:rsid w:val="000A0375"/>
    <w:rsid w:val="000C3C75"/>
    <w:rsid w:val="000F2E2D"/>
    <w:rsid w:val="001475C0"/>
    <w:rsid w:val="00174250"/>
    <w:rsid w:val="001B0DFC"/>
    <w:rsid w:val="001D522C"/>
    <w:rsid w:val="001E7E8B"/>
    <w:rsid w:val="0020497E"/>
    <w:rsid w:val="002124E2"/>
    <w:rsid w:val="0022245C"/>
    <w:rsid w:val="002304BF"/>
    <w:rsid w:val="00236F3A"/>
    <w:rsid w:val="00244B62"/>
    <w:rsid w:val="00246B8B"/>
    <w:rsid w:val="0026784B"/>
    <w:rsid w:val="00292BC4"/>
    <w:rsid w:val="0037372F"/>
    <w:rsid w:val="003A5B49"/>
    <w:rsid w:val="003C12C1"/>
    <w:rsid w:val="003C5767"/>
    <w:rsid w:val="003D1E17"/>
    <w:rsid w:val="003E424B"/>
    <w:rsid w:val="00425695"/>
    <w:rsid w:val="00457414"/>
    <w:rsid w:val="004903F5"/>
    <w:rsid w:val="004E5F20"/>
    <w:rsid w:val="005527EF"/>
    <w:rsid w:val="005C0659"/>
    <w:rsid w:val="005C5708"/>
    <w:rsid w:val="006138B9"/>
    <w:rsid w:val="006257B4"/>
    <w:rsid w:val="00636BD2"/>
    <w:rsid w:val="00661FA6"/>
    <w:rsid w:val="006742CF"/>
    <w:rsid w:val="00682505"/>
    <w:rsid w:val="00687A16"/>
    <w:rsid w:val="00693A2E"/>
    <w:rsid w:val="006D3A26"/>
    <w:rsid w:val="006E5E1E"/>
    <w:rsid w:val="006F4685"/>
    <w:rsid w:val="006F4C64"/>
    <w:rsid w:val="00792978"/>
    <w:rsid w:val="00797429"/>
    <w:rsid w:val="007C22DD"/>
    <w:rsid w:val="00802261"/>
    <w:rsid w:val="008038B3"/>
    <w:rsid w:val="00822B57"/>
    <w:rsid w:val="008E52FC"/>
    <w:rsid w:val="008F209E"/>
    <w:rsid w:val="008F6F0B"/>
    <w:rsid w:val="009104D6"/>
    <w:rsid w:val="00916FD5"/>
    <w:rsid w:val="00940AE6"/>
    <w:rsid w:val="009560E0"/>
    <w:rsid w:val="00964E77"/>
    <w:rsid w:val="00972485"/>
    <w:rsid w:val="00974544"/>
    <w:rsid w:val="009876F0"/>
    <w:rsid w:val="009B0BFD"/>
    <w:rsid w:val="009B4F45"/>
    <w:rsid w:val="009C4269"/>
    <w:rsid w:val="009D3B57"/>
    <w:rsid w:val="009F5BC7"/>
    <w:rsid w:val="009F5C06"/>
    <w:rsid w:val="00A13B4F"/>
    <w:rsid w:val="00A90C1F"/>
    <w:rsid w:val="00A934A8"/>
    <w:rsid w:val="00AB148E"/>
    <w:rsid w:val="00B54F3A"/>
    <w:rsid w:val="00B9617C"/>
    <w:rsid w:val="00B96332"/>
    <w:rsid w:val="00BC502E"/>
    <w:rsid w:val="00BC6F8A"/>
    <w:rsid w:val="00BD5E82"/>
    <w:rsid w:val="00BE4718"/>
    <w:rsid w:val="00C42BCE"/>
    <w:rsid w:val="00C60EED"/>
    <w:rsid w:val="00CA6CB8"/>
    <w:rsid w:val="00CB1E20"/>
    <w:rsid w:val="00D7743E"/>
    <w:rsid w:val="00DE1A22"/>
    <w:rsid w:val="00E13A2F"/>
    <w:rsid w:val="00E51C73"/>
    <w:rsid w:val="00E56C91"/>
    <w:rsid w:val="00E75871"/>
    <w:rsid w:val="00F2523E"/>
    <w:rsid w:val="00F57AC6"/>
    <w:rsid w:val="00FB06A7"/>
    <w:rsid w:val="00FC2C4F"/>
    <w:rsid w:val="00FD131A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25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2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250"/>
    <w:rPr>
      <w:sz w:val="22"/>
      <w:szCs w:val="22"/>
      <w:lang w:eastAsia="en-US"/>
    </w:rPr>
  </w:style>
  <w:style w:type="character" w:customStyle="1" w:styleId="longtext">
    <w:name w:val="long_text"/>
    <w:basedOn w:val="Fuentedeprrafopredeter"/>
    <w:rsid w:val="00AB148E"/>
  </w:style>
  <w:style w:type="character" w:customStyle="1" w:styleId="shorttext">
    <w:name w:val="short_text"/>
    <w:basedOn w:val="Fuentedeprrafopredeter"/>
    <w:rsid w:val="00A9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COESPO%20SLP\Remesas%202009%20(datos%20m&#225;s%20recientes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guel\Mis%20documentos\PIB%20ENTIDADES%20200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guel\Mis%20documentos\PIB%20ENTIDADES%2020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>
        <c:manualLayout>
          <c:layoutTarget val="inner"/>
          <c:xMode val="edge"/>
          <c:yMode val="edge"/>
          <c:x val="9.9101668895161726E-2"/>
          <c:y val="0.17767658353050697"/>
          <c:w val="0.90089831746238414"/>
          <c:h val="0.71565390533079964"/>
        </c:manualLayout>
      </c:layout>
      <c:areaChart>
        <c:grouping val="stacked"/>
        <c:ser>
          <c:idx val="1"/>
          <c:order val="1"/>
          <c:tx>
            <c:v>2009/2007</c:v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cat>
            <c:strRef>
              <c:f>Consulta!$A$30:$A$41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Consulta!$D$30:$D$41</c:f>
              <c:numCache>
                <c:formatCode>#,##0.00_ ;\-#,##0.00\ </c:formatCode>
                <c:ptCount val="12"/>
                <c:pt idx="0">
                  <c:v>-304.66000000000008</c:v>
                </c:pt>
                <c:pt idx="1">
                  <c:v>-53.36</c:v>
                </c:pt>
                <c:pt idx="2">
                  <c:v>-82.05</c:v>
                </c:pt>
                <c:pt idx="3">
                  <c:v>-386.28</c:v>
                </c:pt>
                <c:pt idx="4">
                  <c:v>-531.79000000000019</c:v>
                </c:pt>
                <c:pt idx="5">
                  <c:v>-377.53</c:v>
                </c:pt>
                <c:pt idx="6">
                  <c:v>-535.74</c:v>
                </c:pt>
                <c:pt idx="7">
                  <c:v>-631.17999999999995</c:v>
                </c:pt>
                <c:pt idx="8">
                  <c:v>-443.85</c:v>
                </c:pt>
                <c:pt idx="9">
                  <c:v>-675.3</c:v>
                </c:pt>
                <c:pt idx="10">
                  <c:v>-462.77</c:v>
                </c:pt>
                <c:pt idx="11">
                  <c:v>-407.68</c:v>
                </c:pt>
              </c:numCache>
            </c:numRef>
          </c:val>
        </c:ser>
        <c:axId val="52491776"/>
        <c:axId val="52493696"/>
      </c:areaChart>
      <c:lineChart>
        <c:grouping val="standard"/>
        <c:ser>
          <c:idx val="0"/>
          <c:order val="0"/>
          <c:tx>
            <c:v>2008/2007</c:v>
          </c:tx>
          <c:spPr>
            <a:ln w="15875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</c:spPr>
          </c:marker>
          <c:cat>
            <c:strRef>
              <c:f>Consulta!$A$30:$A$41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Consulta!$B$30:$B$41</c:f>
              <c:numCache>
                <c:formatCode>0.00</c:formatCode>
                <c:ptCount val="12"/>
                <c:pt idx="0">
                  <c:v>-91.79</c:v>
                </c:pt>
                <c:pt idx="1">
                  <c:v>2.71</c:v>
                </c:pt>
                <c:pt idx="2">
                  <c:v>-70.42</c:v>
                </c:pt>
                <c:pt idx="3">
                  <c:v>22.310000000000006</c:v>
                </c:pt>
                <c:pt idx="4">
                  <c:v>-60.68</c:v>
                </c:pt>
                <c:pt idx="5">
                  <c:v>-36.220000000000013</c:v>
                </c:pt>
                <c:pt idx="6">
                  <c:v>-182.49</c:v>
                </c:pt>
                <c:pt idx="7">
                  <c:v>-314.38</c:v>
                </c:pt>
                <c:pt idx="8">
                  <c:v>-72.61999999999999</c:v>
                </c:pt>
                <c:pt idx="9">
                  <c:v>269.2</c:v>
                </c:pt>
                <c:pt idx="10">
                  <c:v>-210.55</c:v>
                </c:pt>
                <c:pt idx="11">
                  <c:v>-186.38000000000005</c:v>
                </c:pt>
              </c:numCache>
            </c:numRef>
          </c:val>
        </c:ser>
        <c:marker val="1"/>
        <c:axId val="52491776"/>
        <c:axId val="52493696"/>
      </c:lineChart>
      <c:catAx>
        <c:axId val="52491776"/>
        <c:scaling>
          <c:orientation val="minMax"/>
        </c:scaling>
        <c:axPos val="b"/>
        <c:numFmt formatCode="General" sourceLinked="1"/>
        <c:tickLblPos val="low"/>
        <c:spPr>
          <a:ln w="25400">
            <a:solidFill>
              <a:srgbClr val="FF0000"/>
            </a:solidFill>
          </a:ln>
        </c:spPr>
        <c:txPr>
          <a:bodyPr rot="-5400000" vert="horz"/>
          <a:lstStyle/>
          <a:p>
            <a:pPr>
              <a:defRPr sz="1200"/>
            </a:pPr>
            <a:endParaRPr lang="es-MX"/>
          </a:p>
        </c:txPr>
        <c:crossAx val="52493696"/>
        <c:crosses val="autoZero"/>
        <c:auto val="1"/>
        <c:lblAlgn val="ctr"/>
        <c:lblOffset val="100"/>
      </c:catAx>
      <c:valAx>
        <c:axId val="52493696"/>
        <c:scaling>
          <c:orientation val="minMax"/>
        </c:scaling>
        <c:axPos val="l"/>
        <c:majorGridlines/>
        <c:numFmt formatCode="#,##0.00_ ;\-#,##0.00\ " sourceLinked="1"/>
        <c:tickLblPos val="nextTo"/>
        <c:txPr>
          <a:bodyPr/>
          <a:lstStyle/>
          <a:p>
            <a:pPr>
              <a:defRPr sz="1000"/>
            </a:pPr>
            <a:endParaRPr lang="es-MX"/>
          </a:p>
        </c:txPr>
        <c:crossAx val="52491776"/>
        <c:crosses val="autoZero"/>
        <c:crossBetween val="between"/>
      </c:valAx>
      <c:spPr>
        <a:solidFill>
          <a:srgbClr val="EEECE1">
            <a:lumMod val="75000"/>
          </a:srgbClr>
        </a:solidFill>
      </c:spPr>
    </c:plotArea>
    <c:legend>
      <c:legendPos val="r"/>
      <c:layout>
        <c:manualLayout>
          <c:xMode val="edge"/>
          <c:yMode val="edge"/>
          <c:x val="0.79802375942676551"/>
          <c:y val="0.14744904341132553"/>
          <c:w val="0.18295655191861337"/>
          <c:h val="0.11678774369089805"/>
        </c:manualLayout>
      </c:layout>
      <c:txPr>
        <a:bodyPr/>
        <a:lstStyle/>
        <a:p>
          <a:pPr>
            <a:defRPr sz="1200"/>
          </a:pPr>
          <a:endParaRPr lang="es-MX"/>
        </a:p>
      </c:txPr>
    </c:legend>
    <c:plotVisOnly val="1"/>
    <c:dispBlanksAs val="zero"/>
  </c:chart>
  <c:spPr>
    <a:solidFill>
      <a:schemeClr val="bg2">
        <a:lumMod val="75000"/>
      </a:schemeClr>
    </a:solidFill>
    <a:ln>
      <a:solidFill>
        <a:schemeClr val="bg2">
          <a:lumMod val="25000"/>
        </a:schemeClr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barChart>
        <c:barDir val="bar"/>
        <c:grouping val="clustered"/>
        <c:ser>
          <c:idx val="0"/>
          <c:order val="0"/>
          <c:tx>
            <c:v>Proporcion Remesas/PIB 2003</c:v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Hoja1!$D$73:$D$104</c:f>
              <c:strCache>
                <c:ptCount val="32"/>
                <c:pt idx="0">
                  <c:v>Campeche</c:v>
                </c:pt>
                <c:pt idx="1">
                  <c:v>Nuevo León</c:v>
                </c:pt>
                <c:pt idx="2">
                  <c:v>Baja California S.</c:v>
                </c:pt>
                <c:pt idx="3">
                  <c:v>Tabasco</c:v>
                </c:pt>
                <c:pt idx="4">
                  <c:v>Quintana Roo</c:v>
                </c:pt>
                <c:pt idx="5">
                  <c:v>Coahuila</c:v>
                </c:pt>
                <c:pt idx="6">
                  <c:v>Distrito Federal</c:v>
                </c:pt>
                <c:pt idx="7">
                  <c:v>Yucatán</c:v>
                </c:pt>
                <c:pt idx="8">
                  <c:v>Baja California</c:v>
                </c:pt>
                <c:pt idx="9">
                  <c:v>Sonora</c:v>
                </c:pt>
                <c:pt idx="10">
                  <c:v>Tamaulipas</c:v>
                </c:pt>
                <c:pt idx="11">
                  <c:v>Chuihuahua</c:v>
                </c:pt>
                <c:pt idx="12">
                  <c:v>Estado México</c:v>
                </c:pt>
                <c:pt idx="13">
                  <c:v>Sinaloa</c:v>
                </c:pt>
                <c:pt idx="14">
                  <c:v>Querétaro</c:v>
                </c:pt>
                <c:pt idx="15">
                  <c:v>Colima</c:v>
                </c:pt>
                <c:pt idx="16">
                  <c:v>Jalisco</c:v>
                </c:pt>
                <c:pt idx="17">
                  <c:v>Durango</c:v>
                </c:pt>
                <c:pt idx="18">
                  <c:v>San Luis Potosi</c:v>
                </c:pt>
                <c:pt idx="19">
                  <c:v>Chiapas</c:v>
                </c:pt>
                <c:pt idx="20">
                  <c:v>Veracruz</c:v>
                </c:pt>
                <c:pt idx="21">
                  <c:v>Puebla</c:v>
                </c:pt>
                <c:pt idx="22">
                  <c:v>Aguascalientes</c:v>
                </c:pt>
                <c:pt idx="23">
                  <c:v>Tlaxcala</c:v>
                </c:pt>
                <c:pt idx="24">
                  <c:v>Morelos</c:v>
                </c:pt>
                <c:pt idx="25">
                  <c:v>Guanajuato</c:v>
                </c:pt>
                <c:pt idx="26">
                  <c:v>Nayarit</c:v>
                </c:pt>
                <c:pt idx="27">
                  <c:v>Hidalgo</c:v>
                </c:pt>
                <c:pt idx="28">
                  <c:v>Oaxaca</c:v>
                </c:pt>
                <c:pt idx="29">
                  <c:v>Guerrero</c:v>
                </c:pt>
                <c:pt idx="30">
                  <c:v>Zacatecas</c:v>
                </c:pt>
                <c:pt idx="31">
                  <c:v>Michoacán</c:v>
                </c:pt>
              </c:strCache>
            </c:strRef>
          </c:cat>
          <c:val>
            <c:numRef>
              <c:f>Hoja1!$E$73:$E$104</c:f>
              <c:numCache>
                <c:formatCode>0.00</c:formatCode>
                <c:ptCount val="32"/>
                <c:pt idx="0">
                  <c:v>0.16206659673686258</c:v>
                </c:pt>
                <c:pt idx="1">
                  <c:v>0.40163286214200217</c:v>
                </c:pt>
                <c:pt idx="2">
                  <c:v>0.54852622509986149</c:v>
                </c:pt>
                <c:pt idx="3">
                  <c:v>0.55490544775856643</c:v>
                </c:pt>
                <c:pt idx="4">
                  <c:v>0.59052333373949051</c:v>
                </c:pt>
                <c:pt idx="5">
                  <c:v>0.65711701178950432</c:v>
                </c:pt>
                <c:pt idx="6">
                  <c:v>0.67571448407428003</c:v>
                </c:pt>
                <c:pt idx="7">
                  <c:v>0.67154216515903131</c:v>
                </c:pt>
                <c:pt idx="8">
                  <c:v>0.72092493649820488</c:v>
                </c:pt>
                <c:pt idx="9">
                  <c:v>0.83368136049124919</c:v>
                </c:pt>
                <c:pt idx="10">
                  <c:v>1.0553119129762183</c:v>
                </c:pt>
                <c:pt idx="11">
                  <c:v>1.0948820883601666</c:v>
                </c:pt>
                <c:pt idx="12">
                  <c:v>1.8647695444770103</c:v>
                </c:pt>
                <c:pt idx="13">
                  <c:v>2.368939658537589</c:v>
                </c:pt>
                <c:pt idx="14">
                  <c:v>2.5959001269572575</c:v>
                </c:pt>
                <c:pt idx="15">
                  <c:v>2.8266660050612793</c:v>
                </c:pt>
                <c:pt idx="16">
                  <c:v>3.031195092065381</c:v>
                </c:pt>
                <c:pt idx="17">
                  <c:v>3.0368551225544582</c:v>
                </c:pt>
                <c:pt idx="18">
                  <c:v>3.3536747930763293</c:v>
                </c:pt>
                <c:pt idx="19">
                  <c:v>3.3550195337291782</c:v>
                </c:pt>
                <c:pt idx="20">
                  <c:v>3.4196435294793326</c:v>
                </c:pt>
                <c:pt idx="21">
                  <c:v>3.5588144996999307</c:v>
                </c:pt>
                <c:pt idx="22">
                  <c:v>3.6752692507804374</c:v>
                </c:pt>
                <c:pt idx="23">
                  <c:v>3.6954789326847393</c:v>
                </c:pt>
                <c:pt idx="24">
                  <c:v>4.4180347831862816</c:v>
                </c:pt>
                <c:pt idx="25">
                  <c:v>5.2393951304275896</c:v>
                </c:pt>
                <c:pt idx="26">
                  <c:v>5.9721587088096832</c:v>
                </c:pt>
                <c:pt idx="27">
                  <c:v>6.2642522607440556</c:v>
                </c:pt>
                <c:pt idx="28">
                  <c:v>7.3396614938233657</c:v>
                </c:pt>
                <c:pt idx="29">
                  <c:v>7.8660283998659883</c:v>
                </c:pt>
                <c:pt idx="30">
                  <c:v>8.1199150083306755</c:v>
                </c:pt>
                <c:pt idx="31">
                  <c:v>10.768075545097332</c:v>
                </c:pt>
              </c:numCache>
            </c:numRef>
          </c:val>
        </c:ser>
        <c:gapWidth val="21"/>
        <c:axId val="96610560"/>
        <c:axId val="52506624"/>
      </c:barChart>
      <c:catAx>
        <c:axId val="96610560"/>
        <c:scaling>
          <c:orientation val="minMax"/>
        </c:scaling>
        <c:axPos val="l"/>
        <c:numFmt formatCode="General" sourceLinked="1"/>
        <c:tickLblPos val="nextTo"/>
        <c:crossAx val="52506624"/>
        <c:crosses val="autoZero"/>
        <c:auto val="1"/>
        <c:lblAlgn val="ctr"/>
        <c:lblOffset val="100"/>
      </c:catAx>
      <c:valAx>
        <c:axId val="52506624"/>
        <c:scaling>
          <c:orientation val="minMax"/>
          <c:max val="11"/>
          <c:min val="0"/>
        </c:scaling>
        <c:axPos val="b"/>
        <c:majorGridlines/>
        <c:numFmt formatCode="0.00" sourceLinked="1"/>
        <c:tickLblPos val="nextTo"/>
        <c:crossAx val="96610560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79646">
        <a:lumMod val="60000"/>
        <a:lumOff val="40000"/>
      </a:srgb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barChart>
        <c:barDir val="bar"/>
        <c:grouping val="clustered"/>
        <c:ser>
          <c:idx val="0"/>
          <c:order val="0"/>
          <c:tx>
            <c:v>Proporcion Remesas/PIB 2007</c:v>
          </c:tx>
          <c:spPr>
            <a:ln>
              <a:solidFill>
                <a:schemeClr val="tx1"/>
              </a:solidFill>
            </a:ln>
          </c:spPr>
          <c:dPt>
            <c:idx val="19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23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6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7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8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9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3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Hoja1!$A$73:$A$104</c:f>
              <c:strCache>
                <c:ptCount val="32"/>
                <c:pt idx="0">
                  <c:v>Campeche</c:v>
                </c:pt>
                <c:pt idx="1">
                  <c:v>Nuevo León</c:v>
                </c:pt>
                <c:pt idx="2">
                  <c:v>Baja California S.</c:v>
                </c:pt>
                <c:pt idx="3">
                  <c:v>Quintana Roo</c:v>
                </c:pt>
                <c:pt idx="4">
                  <c:v>Tabasco</c:v>
                </c:pt>
                <c:pt idx="5">
                  <c:v>Distrito Federal</c:v>
                </c:pt>
                <c:pt idx="6">
                  <c:v>Coahuila</c:v>
                </c:pt>
                <c:pt idx="7">
                  <c:v>Yucatán</c:v>
                </c:pt>
                <c:pt idx="8">
                  <c:v>Baja California</c:v>
                </c:pt>
                <c:pt idx="9">
                  <c:v>Sonora</c:v>
                </c:pt>
                <c:pt idx="10">
                  <c:v>Chuihuahua</c:v>
                </c:pt>
                <c:pt idx="11">
                  <c:v>Tamaulipas</c:v>
                </c:pt>
                <c:pt idx="12">
                  <c:v>Estado México</c:v>
                </c:pt>
                <c:pt idx="13">
                  <c:v>Sinaloa</c:v>
                </c:pt>
                <c:pt idx="14">
                  <c:v>Querétaro</c:v>
                </c:pt>
                <c:pt idx="15">
                  <c:v>Jalisco</c:v>
                </c:pt>
                <c:pt idx="16">
                  <c:v>Aguascalientes</c:v>
                </c:pt>
                <c:pt idx="17">
                  <c:v>Colima</c:v>
                </c:pt>
                <c:pt idx="18">
                  <c:v>Durango</c:v>
                </c:pt>
                <c:pt idx="19">
                  <c:v>Veracruz</c:v>
                </c:pt>
                <c:pt idx="20">
                  <c:v>San Luis Potosi</c:v>
                </c:pt>
                <c:pt idx="21">
                  <c:v>Puebla</c:v>
                </c:pt>
                <c:pt idx="22">
                  <c:v>Morelos</c:v>
                </c:pt>
                <c:pt idx="23">
                  <c:v>Chiapas</c:v>
                </c:pt>
                <c:pt idx="24">
                  <c:v>Tlaxcala</c:v>
                </c:pt>
                <c:pt idx="25">
                  <c:v>Nayarit</c:v>
                </c:pt>
                <c:pt idx="26">
                  <c:v>Guanajuato</c:v>
                </c:pt>
                <c:pt idx="27">
                  <c:v>Hidalgo</c:v>
                </c:pt>
                <c:pt idx="28">
                  <c:v>Guerrero</c:v>
                </c:pt>
                <c:pt idx="29">
                  <c:v>Oaxaca</c:v>
                </c:pt>
                <c:pt idx="30">
                  <c:v>Michoacán</c:v>
                </c:pt>
                <c:pt idx="31">
                  <c:v>Zacatecas</c:v>
                </c:pt>
              </c:strCache>
            </c:strRef>
          </c:cat>
          <c:val>
            <c:numRef>
              <c:f>Hoja1!$B$73:$B$104</c:f>
              <c:numCache>
                <c:formatCode>0.00</c:formatCode>
                <c:ptCount val="32"/>
                <c:pt idx="0">
                  <c:v>0.27845079591619576</c:v>
                </c:pt>
                <c:pt idx="1">
                  <c:v>0.59649479972774522</c:v>
                </c:pt>
                <c:pt idx="2">
                  <c:v>0.71497425168973316</c:v>
                </c:pt>
                <c:pt idx="3">
                  <c:v>0.83911872441284219</c:v>
                </c:pt>
                <c:pt idx="4">
                  <c:v>0.97375108439856062</c:v>
                </c:pt>
                <c:pt idx="5">
                  <c:v>0.99612101667317121</c:v>
                </c:pt>
                <c:pt idx="6">
                  <c:v>1.1071991741800959</c:v>
                </c:pt>
                <c:pt idx="7">
                  <c:v>1.226386537720195</c:v>
                </c:pt>
                <c:pt idx="8">
                  <c:v>1.4374016883491429</c:v>
                </c:pt>
                <c:pt idx="9">
                  <c:v>1.7693293435607278</c:v>
                </c:pt>
                <c:pt idx="10">
                  <c:v>1.830802848474991</c:v>
                </c:pt>
                <c:pt idx="11">
                  <c:v>2.002717960391533</c:v>
                </c:pt>
                <c:pt idx="12">
                  <c:v>3.0809626084718968</c:v>
                </c:pt>
                <c:pt idx="13">
                  <c:v>3.2988495374278779</c:v>
                </c:pt>
                <c:pt idx="14">
                  <c:v>3.4078264340065827</c:v>
                </c:pt>
                <c:pt idx="15">
                  <c:v>3.9580423134108571</c:v>
                </c:pt>
                <c:pt idx="16">
                  <c:v>4.1419961775323859</c:v>
                </c:pt>
                <c:pt idx="17">
                  <c:v>4.7949346805243378</c:v>
                </c:pt>
                <c:pt idx="18">
                  <c:v>4.8214255066019138</c:v>
                </c:pt>
                <c:pt idx="19">
                  <c:v>4.9345607832472131</c:v>
                </c:pt>
                <c:pt idx="20">
                  <c:v>5.526807011502628</c:v>
                </c:pt>
                <c:pt idx="21">
                  <c:v>5.8418407650288193</c:v>
                </c:pt>
                <c:pt idx="22">
                  <c:v>6.7657114495703503</c:v>
                </c:pt>
                <c:pt idx="23">
                  <c:v>6.9248029522350647</c:v>
                </c:pt>
                <c:pt idx="24">
                  <c:v>7.0581872370266456</c:v>
                </c:pt>
                <c:pt idx="25">
                  <c:v>7.8595400988217419</c:v>
                </c:pt>
                <c:pt idx="26">
                  <c:v>7.9488985672294108</c:v>
                </c:pt>
                <c:pt idx="27">
                  <c:v>10.008421061475511</c:v>
                </c:pt>
                <c:pt idx="28">
                  <c:v>11.759965996675232</c:v>
                </c:pt>
                <c:pt idx="29">
                  <c:v>12.442779472112667</c:v>
                </c:pt>
                <c:pt idx="30">
                  <c:v>12.924630187712975</c:v>
                </c:pt>
                <c:pt idx="31">
                  <c:v>13.413108166986721</c:v>
                </c:pt>
              </c:numCache>
            </c:numRef>
          </c:val>
        </c:ser>
        <c:gapWidth val="20"/>
        <c:axId val="52552064"/>
        <c:axId val="52553600"/>
      </c:barChart>
      <c:catAx>
        <c:axId val="52552064"/>
        <c:scaling>
          <c:orientation val="minMax"/>
        </c:scaling>
        <c:axPos val="l"/>
        <c:numFmt formatCode="General" sourceLinked="1"/>
        <c:tickLblPos val="nextTo"/>
        <c:crossAx val="52553600"/>
        <c:crosses val="autoZero"/>
        <c:auto val="1"/>
        <c:lblAlgn val="ctr"/>
        <c:lblOffset val="100"/>
      </c:catAx>
      <c:valAx>
        <c:axId val="52553600"/>
        <c:scaling>
          <c:orientation val="minMax"/>
          <c:max val="14"/>
        </c:scaling>
        <c:axPos val="b"/>
        <c:majorGridlines/>
        <c:numFmt formatCode="0.00" sourceLinked="1"/>
        <c:tickLblPos val="nextTo"/>
        <c:crossAx val="52552064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79646">
        <a:lumMod val="60000"/>
        <a:lumOff val="40000"/>
      </a:srgbClr>
    </a:solidFill>
  </c:spPr>
  <c:txPr>
    <a:bodyPr/>
    <a:lstStyle/>
    <a:p>
      <a:pPr>
        <a:defRPr baseline="0"/>
      </a:pPr>
      <a:endParaRPr lang="es-MX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0.09917</cdr:x>
      <cdr:y>0.04926</cdr:y>
    </cdr:from>
    <cdr:to>
      <cdr:x>0.83471</cdr:x>
      <cdr:y>0.16502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685800" y="230378"/>
          <a:ext cx="5086350" cy="541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s-MX" sz="1600" b="1"/>
            <a:t>Caída absoluta de las remesas 2008 y 2009 respecto a 2007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47E2-6BC1-46BA-BAF5-F8252E4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Moctezula</dc:creator>
  <cp:lastModifiedBy>Eli</cp:lastModifiedBy>
  <cp:revision>2</cp:revision>
  <dcterms:created xsi:type="dcterms:W3CDTF">2010-02-06T00:26:00Z</dcterms:created>
  <dcterms:modified xsi:type="dcterms:W3CDTF">2010-02-06T00:26:00Z</dcterms:modified>
</cp:coreProperties>
</file>